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240"/>
      </w:pPr>
      <w:r>
        <w:rPr>
          <w:rFonts w:ascii="Segoe UI" w:hAnsi="Segoe UI"/>
          <w:b/>
          <w:i w:val="0"/>
          <w:color w:val="2563EB"/>
          <w:sz w:val="28"/>
        </w:rPr>
        <w:t>FINANCHO PLATFORM</w:t>
      </w:r>
    </w:p>
    <w:p>
      <w:pPr>
        <w:spacing w:before="0" w:after="360"/>
      </w:pPr>
      <w:r>
        <w:rPr>
          <w:rFonts w:ascii="Segoe UI" w:hAnsi="Segoe UI"/>
          <w:b/>
          <w:i w:val="0"/>
          <w:color w:val="1E3A8A"/>
          <w:sz w:val="64"/>
        </w:rPr>
        <w:t>Comprehensive User Manual</w:t>
      </w:r>
    </w:p>
    <w:p>
      <w:pPr>
        <w:spacing w:before="0" w:after="560"/>
      </w:pPr>
      <w:r>
        <w:rPr>
          <w:rFonts w:ascii="Segoe UI" w:hAnsi="Segoe UI"/>
          <w:b w:val="0"/>
          <w:i w:val="0"/>
          <w:color w:val="4B5563"/>
          <w:sz w:val="26"/>
        </w:rPr>
        <w:t>Your Complete Guide to Retirement Planning, Financial Explorers, Tax-Smart Strategies, and the AI Financial Assistant.</w:t>
      </w:r>
    </w:p>
    <w:tbl>
      <w:tblPr>
        <w:tblW w:type="auto" w:w="0"/>
        <w:jc w:val="center"/>
        <w:tblLook w:firstColumn="1" w:firstRow="1" w:lastColumn="0" w:lastRow="0" w:noHBand="0" w:noVBand="1" w:val="04A0"/>
      </w:tblPr>
      <w:tblGrid>
        <w:gridCol w:w="9360"/>
      </w:tblGrid>
      <w:tr>
        <w:tc>
          <w:tcPr>
            <w:tcW w:type="dxa" w:w="9360"/>
            <w:shd w:fill="F8FAFC"/>
            <w:tcBorders>
              <w:left w:val="single" w:sz="36" w:space="0" w:color="1E3A8A"/>
              <w:top w:val="nil"/>
              <w:bottom w:val="nil"/>
              <w:right w:val="nil"/>
            </w:tcBorders>
            <w:tcMar>
              <w:top w:w="140" w:type="dxa"/>
              <w:bottom w:w="140" w:type="dxa"/>
              <w:left w:w="200" w:type="dxa"/>
              <w:right w:w="140" w:type="dxa"/>
            </w:tcMar>
          </w:tcPr>
          <w:p>
            <w:pPr>
              <w:spacing w:before="40" w:after="40"/>
            </w:pPr>
            <w:r>
              <w:rPr>
                <w:rFonts w:ascii="Segoe UI" w:hAnsi="Segoe UI"/>
                <w:b/>
                <w:i w:val="0"/>
                <w:color w:val="1E3A8A"/>
                <w:sz w:val="20"/>
              </w:rPr>
              <w:t>Release Version:</w:t>
            </w:r>
            <w:r>
              <w:rPr>
                <w:rFonts w:ascii="Segoe UI" w:hAnsi="Segoe UI"/>
                <w:b w:val="0"/>
                <w:i w:val="0"/>
                <w:color w:val="374151"/>
                <w:sz w:val="20"/>
              </w:rPr>
              <w:t xml:space="preserve"> 2026.1</w:t>
            </w:r>
          </w:p>
          <w:p>
            <w:pPr>
              <w:spacing w:before="40" w:after="40"/>
            </w:pPr>
            <w:r>
              <w:rPr>
                <w:rFonts w:ascii="Segoe UI" w:hAnsi="Segoe UI"/>
                <w:b/>
                <w:i w:val="0"/>
                <w:color w:val="1E3A8A"/>
                <w:sz w:val="20"/>
              </w:rPr>
              <w:t>Tax Year Coverage:</w:t>
            </w:r>
            <w:r>
              <w:rPr>
                <w:rFonts w:ascii="Segoe UI" w:hAnsi="Segoe UI"/>
                <w:b w:val="0"/>
                <w:i w:val="0"/>
                <w:color w:val="374151"/>
                <w:sz w:val="20"/>
              </w:rPr>
              <w:t xml:space="preserve"> 2026 Federal &amp; All 50 States + DC</w:t>
            </w:r>
          </w:p>
          <w:p>
            <w:pPr>
              <w:spacing w:before="40" w:after="40"/>
            </w:pPr>
            <w:r>
              <w:rPr>
                <w:rFonts w:ascii="Segoe UI" w:hAnsi="Segoe UI"/>
                <w:b/>
                <w:i w:val="0"/>
                <w:color w:val="1E3A8A"/>
                <w:sz w:val="20"/>
              </w:rPr>
              <w:t>Intended Audience:</w:t>
            </w:r>
            <w:r>
              <w:rPr>
                <w:rFonts w:ascii="Segoe UI" w:hAnsi="Segoe UI"/>
                <w:b w:val="0"/>
                <w:i w:val="0"/>
                <w:color w:val="374151"/>
                <w:sz w:val="20"/>
              </w:rPr>
              <w:t xml:space="preserve"> Financho Members</w:t>
            </w:r>
          </w:p>
          <w:p>
            <w:pPr>
              <w:spacing w:before="40" w:after="40"/>
            </w:pPr>
            <w:r>
              <w:rPr>
                <w:rFonts w:ascii="Segoe UI" w:hAnsi="Segoe UI"/>
                <w:b/>
                <w:i w:val="0"/>
                <w:color w:val="1E3A8A"/>
                <w:sz w:val="20"/>
              </w:rPr>
              <w:t>Publication Date:</w:t>
            </w:r>
            <w:r>
              <w:rPr>
                <w:rFonts w:ascii="Segoe UI" w:hAnsi="Segoe UI"/>
                <w:b w:val="0"/>
                <w:i w:val="0"/>
                <w:color w:val="374151"/>
                <w:sz w:val="20"/>
              </w:rPr>
              <w:t xml:space="preserve"> September 2026</w:t>
            </w:r>
          </w:p>
        </w:tc>
      </w:tr>
    </w:tbl>
    <w:p/>
    <w:p>
      <w:pPr>
        <w:spacing w:before="480" w:after="160"/>
      </w:pPr>
      <w:r>
        <w:rPr>
          <w:rFonts w:ascii="Segoe UI" w:hAnsi="Segoe UI"/>
          <w:b/>
          <w:i w:val="0"/>
          <w:color w:val="1E3A8A"/>
          <w:sz w:val="28"/>
        </w:rPr>
        <w:t>What's Inside</w:t>
      </w:r>
    </w:p>
    <w:p>
      <w:pPr>
        <w:spacing w:before="20" w:after="20"/>
      </w:pPr>
      <w:r>
        <w:rPr>
          <w:rFonts w:ascii="Segoe UI" w:hAnsi="Segoe UI"/>
          <w:b w:val="0"/>
          <w:i w:val="0"/>
          <w:color w:val="374151"/>
          <w:sz w:val="20"/>
        </w:rPr>
        <w:t>1. Welcome to Financho</w:t>
      </w:r>
    </w:p>
    <w:p>
      <w:pPr>
        <w:spacing w:before="20" w:after="20"/>
      </w:pPr>
      <w:r>
        <w:rPr>
          <w:rFonts w:ascii="Segoe UI" w:hAnsi="Segoe UI"/>
          <w:b w:val="0"/>
          <w:i w:val="0"/>
          <w:color w:val="374151"/>
          <w:sz w:val="20"/>
        </w:rPr>
        <w:t>2. Getting Started &amp; Your First Plan</w:t>
      </w:r>
    </w:p>
    <w:p>
      <w:pPr>
        <w:spacing w:before="20" w:after="20"/>
      </w:pPr>
      <w:r>
        <w:rPr>
          <w:rFonts w:ascii="Segoe UI" w:hAnsi="Segoe UI"/>
          <w:b w:val="0"/>
          <w:i w:val="0"/>
          <w:color w:val="374151"/>
          <w:sz w:val="20"/>
        </w:rPr>
        <w:t>3. The Command Center Dashboard</w:t>
      </w:r>
    </w:p>
    <w:p>
      <w:pPr>
        <w:spacing w:before="20" w:after="20"/>
      </w:pPr>
      <w:r>
        <w:rPr>
          <w:rFonts w:ascii="Segoe UI" w:hAnsi="Segoe UI"/>
          <w:b w:val="0"/>
          <w:i w:val="0"/>
          <w:color w:val="374151"/>
          <w:sz w:val="20"/>
        </w:rPr>
        <w:t>4. Financial Wellness Score</w:t>
      </w:r>
    </w:p>
    <w:p>
      <w:pPr>
        <w:spacing w:before="20" w:after="20"/>
      </w:pPr>
      <w:r>
        <w:rPr>
          <w:rFonts w:ascii="Segoe UI" w:hAnsi="Segoe UI"/>
          <w:b w:val="0"/>
          <w:i w:val="0"/>
          <w:color w:val="374151"/>
          <w:sz w:val="20"/>
        </w:rPr>
        <w:t>5. Your Personal Digital Coach</w:t>
      </w:r>
    </w:p>
    <w:p>
      <w:pPr>
        <w:spacing w:before="20" w:after="20"/>
      </w:pPr>
      <w:r>
        <w:rPr>
          <w:rFonts w:ascii="Segoe UI" w:hAnsi="Segoe UI"/>
          <w:b w:val="0"/>
          <w:i w:val="0"/>
          <w:color w:val="374151"/>
          <w:sz w:val="20"/>
        </w:rPr>
        <w:t>6. Plan Profile &amp; Household Setup</w:t>
      </w:r>
    </w:p>
    <w:p>
      <w:pPr>
        <w:spacing w:before="20" w:after="20"/>
      </w:pPr>
      <w:r>
        <w:rPr>
          <w:rFonts w:ascii="Segoe UI" w:hAnsi="Segoe UI"/>
          <w:b w:val="0"/>
          <w:i w:val="0"/>
          <w:color w:val="374151"/>
          <w:sz w:val="20"/>
        </w:rPr>
        <w:t>7. Managing Accounts &amp; Capital Structure</w:t>
      </w:r>
    </w:p>
    <w:p>
      <w:pPr>
        <w:spacing w:before="20" w:after="20"/>
      </w:pPr>
      <w:r>
        <w:rPr>
          <w:rFonts w:ascii="Segoe UI" w:hAnsi="Segoe UI"/>
          <w:b w:val="0"/>
          <w:i w:val="0"/>
          <w:color w:val="374151"/>
          <w:sz w:val="20"/>
        </w:rPr>
        <w:t>8. Portfolio Holdings &amp; Live Investment Tracking</w:t>
      </w:r>
    </w:p>
    <w:p>
      <w:pPr>
        <w:spacing w:before="20" w:after="20"/>
      </w:pPr>
      <w:r>
        <w:rPr>
          <w:rFonts w:ascii="Segoe UI" w:hAnsi="Segoe UI"/>
          <w:b w:val="0"/>
          <w:i w:val="0"/>
          <w:color w:val="374151"/>
          <w:sz w:val="20"/>
        </w:rPr>
        <w:t>9. Income Streams &amp; Social Security Planning</w:t>
      </w:r>
    </w:p>
    <w:p>
      <w:pPr>
        <w:spacing w:before="20" w:after="20"/>
      </w:pPr>
      <w:r>
        <w:rPr>
          <w:rFonts w:ascii="Segoe UI" w:hAnsi="Segoe UI"/>
          <w:b w:val="0"/>
          <w:i w:val="0"/>
          <w:color w:val="374151"/>
          <w:sz w:val="20"/>
        </w:rPr>
        <w:t>10. Living Expenses &amp; Smart Budgeting</w:t>
      </w:r>
    </w:p>
    <w:p>
      <w:pPr>
        <w:spacing w:before="20" w:after="20"/>
      </w:pPr>
      <w:r>
        <w:rPr>
          <w:rFonts w:ascii="Segoe UI" w:hAnsi="Segoe UI"/>
          <w:b w:val="0"/>
          <w:i w:val="0"/>
          <w:color w:val="374151"/>
          <w:sz w:val="20"/>
        </w:rPr>
        <w:t>11. Debt Management &amp; Payoff Strategies</w:t>
      </w:r>
    </w:p>
    <w:p>
      <w:pPr>
        <w:spacing w:before="20" w:after="20"/>
      </w:pPr>
      <w:r>
        <w:rPr>
          <w:rFonts w:ascii="Segoe UI" w:hAnsi="Segoe UI"/>
          <w:b w:val="0"/>
          <w:i w:val="0"/>
          <w:color w:val="374151"/>
          <w:sz w:val="20"/>
        </w:rPr>
        <w:t>12. Macroeconomic Assumptions &amp; Dynamic Spending Guardrails</w:t>
      </w:r>
    </w:p>
    <w:p>
      <w:pPr>
        <w:spacing w:before="20" w:after="20"/>
      </w:pPr>
      <w:r>
        <w:rPr>
          <w:rFonts w:ascii="Segoe UI" w:hAnsi="Segoe UI"/>
          <w:b w:val="0"/>
          <w:i w:val="0"/>
          <w:color w:val="374151"/>
          <w:sz w:val="20"/>
        </w:rPr>
        <w:t>13. Healthcare, Medicare, ACA &amp; Long-Term Care</w:t>
      </w:r>
    </w:p>
    <w:p>
      <w:pPr>
        <w:spacing w:before="20" w:after="20"/>
      </w:pPr>
      <w:r>
        <w:rPr>
          <w:rFonts w:ascii="Segoe UI" w:hAnsi="Segoe UI"/>
          <w:b w:val="0"/>
          <w:i w:val="0"/>
          <w:color w:val="374151"/>
          <w:sz w:val="20"/>
        </w:rPr>
        <w:t>14. Real Estate &amp; Home Equity</w:t>
      </w:r>
    </w:p>
    <w:p>
      <w:pPr>
        <w:spacing w:before="20" w:after="20"/>
      </w:pPr>
      <w:r>
        <w:rPr>
          <w:rFonts w:ascii="Segoe UI" w:hAnsi="Segoe UI"/>
          <w:b w:val="0"/>
          <w:i w:val="0"/>
          <w:color w:val="374151"/>
          <w:sz w:val="20"/>
        </w:rPr>
        <w:t>15. What-If Scenarios &amp; Decision Sandboxes</w:t>
      </w:r>
    </w:p>
    <w:p>
      <w:pPr>
        <w:spacing w:before="20" w:after="20"/>
      </w:pPr>
      <w:r>
        <w:rPr>
          <w:rFonts w:ascii="Segoe UI" w:hAnsi="Segoe UI"/>
          <w:b w:val="0"/>
          <w:i w:val="0"/>
          <w:color w:val="374151"/>
          <w:sz w:val="20"/>
        </w:rPr>
        <w:t>16. The 9 Financial Explorers</w:t>
      </w:r>
    </w:p>
    <w:p>
      <w:pPr>
        <w:spacing w:before="20" w:after="20"/>
      </w:pPr>
      <w:r>
        <w:rPr>
          <w:rFonts w:ascii="Segoe UI" w:hAnsi="Segoe UI"/>
          <w:b w:val="0"/>
          <w:i w:val="0"/>
          <w:color w:val="374151"/>
          <w:sz w:val="20"/>
        </w:rPr>
        <w:t>17. How Financho Calculates Your Taxes</w:t>
      </w:r>
    </w:p>
    <w:p>
      <w:pPr>
        <w:spacing w:before="20" w:after="20"/>
      </w:pPr>
      <w:r>
        <w:rPr>
          <w:rFonts w:ascii="Segoe UI" w:hAnsi="Segoe UI"/>
          <w:b w:val="0"/>
          <w:i w:val="0"/>
          <w:color w:val="374151"/>
          <w:sz w:val="20"/>
        </w:rPr>
        <w:t>18. The AI Financial Assistant &amp; Voice Mode</w:t>
      </w:r>
    </w:p>
    <w:p>
      <w:pPr>
        <w:spacing w:before="20" w:after="20"/>
      </w:pPr>
      <w:r>
        <w:rPr>
          <w:rFonts w:ascii="Segoe UI" w:hAnsi="Segoe UI"/>
          <w:b w:val="0"/>
          <w:i w:val="0"/>
          <w:color w:val="374151"/>
          <w:sz w:val="20"/>
        </w:rPr>
        <w:t>19. Account Security, Subscriptions &amp; Data Privacy</w:t>
      </w:r>
    </w:p>
    <w:p>
      <w:pPr>
        <w:spacing w:before="20" w:after="20"/>
      </w:pPr>
      <w:r>
        <w:rPr>
          <w:rFonts w:ascii="Segoe UI" w:hAnsi="Segoe UI"/>
          <w:b w:val="0"/>
          <w:i w:val="0"/>
          <w:color w:val="374151"/>
          <w:sz w:val="20"/>
        </w:rPr>
        <w:t>20. Frequently Asked Questions &amp; Disclaimers</w:t>
      </w:r>
    </w:p>
    <w:p>
      <w:r>
        <w:br w:type="page"/>
      </w:r>
    </w:p>
    <w:p>
      <w:pPr>
        <w:keepNext/>
        <w:spacing w:before="440" w:after="160"/>
      </w:pPr>
      <w:r>
        <w:rPr>
          <w:rFonts w:ascii="Segoe UI" w:hAnsi="Segoe UI"/>
          <w:b/>
          <w:i w:val="0"/>
          <w:color w:val="1E3A8A"/>
          <w:sz w:val="40"/>
        </w:rPr>
        <w:t>CHAPTER 1: Welcome to Financho</w:t>
      </w:r>
    </w:p>
    <w:p>
      <w:pPr>
        <w:keepNext/>
        <w:spacing w:before="320" w:after="120"/>
      </w:pPr>
      <w:r>
        <w:rPr>
          <w:rFonts w:ascii="Segoe UI" w:hAnsi="Segoe UI"/>
          <w:b/>
          <w:i w:val="0"/>
          <w:color w:val="2563EB"/>
          <w:sz w:val="30"/>
        </w:rPr>
        <w:t>1.1 What is Financho?</w:t>
      </w:r>
    </w:p>
    <w:p>
      <w:pPr>
        <w:spacing w:before="40" w:after="80" w:line="276" w:lineRule="auto"/>
      </w:pPr>
      <w:r>
        <w:rPr>
          <w:rFonts w:ascii="Segoe UI" w:hAnsi="Segoe UI"/>
          <w:b w:val="0"/>
          <w:i w:val="0"/>
          <w:color w:val="1F2937"/>
          <w:sz w:val="19"/>
        </w:rPr>
        <w:t>Financho is a personal finance and retirement planning platform designed to give you clarity and confidence about your financial future. Whether you are decades away from retirement, approaching your retirement transition, or already living off your investments, Financho helps you model your entire financial life in one place.</w:t>
      </w:r>
    </w:p>
    <w:p>
      <w:pPr>
        <w:spacing w:before="40" w:after="80" w:line="276" w:lineRule="auto"/>
      </w:pPr>
      <w:r>
        <w:rPr>
          <w:rFonts w:ascii="Segoe UI" w:hAnsi="Segoe UI"/>
          <w:b w:val="0"/>
          <w:i w:val="0"/>
          <w:color w:val="1F2937"/>
          <w:sz w:val="19"/>
        </w:rPr>
        <w:t>Unlike traditional online retirement calculators that make simplistic assumptions—such as a flat 7% return every single year and an arbitrary average tax rate—Financho models your finances with institutional-level precision:</w:t>
      </w:r>
    </w:p>
    <w:p>
      <w:pPr>
        <w:pStyle w:val="ListBullet"/>
        <w:spacing w:before="20" w:after="40"/>
      </w:pPr>
      <w:r>
        <w:rPr>
          <w:rFonts w:ascii="Segoe UI" w:hAnsi="Segoe UI"/>
          <w:b/>
          <w:i w:val="0"/>
          <w:color w:val="1F2937"/>
          <w:sz w:val="19"/>
        </w:rPr>
        <w:t>True Cash-Flow Tracking</w:t>
      </w:r>
      <w:r>
        <w:rPr>
          <w:rFonts w:ascii="Segoe UI" w:hAnsi="Segoe UI"/>
          <w:b w:val="0"/>
          <w:i w:val="0"/>
          <w:color w:val="1F2937"/>
          <w:sz w:val="19"/>
        </w:rPr>
        <w:t>: Every dollar earned, spent, saved, invested, or taxed is calculated year-by-year in realistic sequence.</w:t>
      </w:r>
    </w:p>
    <w:p>
      <w:pPr>
        <w:pStyle w:val="ListBullet"/>
        <w:spacing w:before="20" w:after="40"/>
      </w:pPr>
      <w:r>
        <w:rPr>
          <w:rFonts w:ascii="Segoe UI" w:hAnsi="Segoe UI"/>
          <w:b/>
          <w:i w:val="0"/>
          <w:color w:val="1F2937"/>
          <w:sz w:val="19"/>
        </w:rPr>
        <w:t>Stress-Testing Real Market Conditions</w:t>
      </w:r>
      <w:r>
        <w:rPr>
          <w:rFonts w:ascii="Segoe UI" w:hAnsi="Segoe UI"/>
          <w:b w:val="0"/>
          <w:i w:val="0"/>
          <w:color w:val="1F2937"/>
          <w:sz w:val="19"/>
        </w:rPr>
        <w:t>: Financho runs 10,000 market simulations testing severe market crashes, inflation spikes, and sustained bear markets so you know your plan can survive the unexpected.</w:t>
      </w:r>
    </w:p>
    <w:p>
      <w:pPr>
        <w:pStyle w:val="ListBullet"/>
        <w:spacing w:before="20" w:after="40"/>
      </w:pPr>
      <w:r>
        <w:rPr>
          <w:rFonts w:ascii="Segoe UI" w:hAnsi="Segoe UI"/>
          <w:b/>
          <w:i w:val="0"/>
          <w:color w:val="1F2937"/>
          <w:sz w:val="19"/>
        </w:rPr>
        <w:t>Real-World Tax Modeling</w:t>
      </w:r>
      <w:r>
        <w:rPr>
          <w:rFonts w:ascii="Segoe UI" w:hAnsi="Segoe UI"/>
          <w:b w:val="0"/>
          <w:i w:val="0"/>
          <w:color w:val="1F2937"/>
          <w:sz w:val="19"/>
        </w:rPr>
        <w:t>: Financho calculates federal income taxes, all 50 state tax systems, capital gains taxes, Medicare surcharges, and Required Minimum Distributions (RMDs) down to the dollar.</w:t>
      </w:r>
    </w:p>
    <w:p>
      <w:pPr>
        <w:pStyle w:val="ListBullet"/>
        <w:spacing w:before="20" w:after="40"/>
      </w:pPr>
      <w:r>
        <w:rPr>
          <w:rFonts w:ascii="Segoe UI" w:hAnsi="Segoe UI"/>
          <w:b/>
          <w:i w:val="0"/>
          <w:color w:val="1F2937"/>
          <w:sz w:val="19"/>
        </w:rPr>
        <w:t>Dynamic Decision Support</w:t>
      </w:r>
      <w:r>
        <w:rPr>
          <w:rFonts w:ascii="Segoe UI" w:hAnsi="Segoe UI"/>
          <w:b w:val="0"/>
          <w:i w:val="0"/>
          <w:color w:val="1F2937"/>
          <w:sz w:val="19"/>
        </w:rPr>
        <w:t>: An intelligent Digital Coach continuously monitors your plan, uncovering tax-saving windows, alerting you to debt risks, and identifying opportunities to maximize your lifetime wealth.</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1.2 How to Navigate Financho</w:t>
      </w:r>
    </w:p>
    <w:p>
      <w:pPr>
        <w:spacing w:before="40" w:after="80" w:line="276" w:lineRule="auto"/>
      </w:pPr>
      <w:r>
        <w:rPr>
          <w:rFonts w:ascii="Segoe UI" w:hAnsi="Segoe UI"/>
          <w:b w:val="0"/>
          <w:i w:val="0"/>
          <w:color w:val="1F2937"/>
          <w:sz w:val="19"/>
        </w:rPr>
        <w:t>The Financho interface is structured into five main operational areas accessible from the top and sidebar navigation:</w:t>
      </w:r>
    </w:p>
    <w:p>
      <w:pPr>
        <w:pStyle w:val="ListNumber"/>
        <w:spacing w:before="20" w:after="40"/>
      </w:pPr>
      <w:r>
        <w:rPr>
          <w:rFonts w:ascii="Segoe UI" w:hAnsi="Segoe UI"/>
          <w:b/>
          <w:i w:val="0"/>
          <w:color w:val="1F2937"/>
          <w:sz w:val="19"/>
        </w:rPr>
        <w:t>Dashboard</w:t>
      </w:r>
      <w:r>
        <w:rPr>
          <w:rFonts w:ascii="Segoe UI" w:hAnsi="Segoe UI"/>
          <w:b w:val="0"/>
          <w:i w:val="0"/>
          <w:color w:val="1F2937"/>
          <w:sz w:val="19"/>
        </w:rPr>
        <w:t>: Your high-level financial command center. Review your current net worth, retirement trajectory, Monte Carlo success percentage, Financial Wellness Score, and tactical coaching alerts.</w:t>
      </w:r>
    </w:p>
    <w:p>
      <w:pPr>
        <w:pStyle w:val="ListNumber"/>
        <w:spacing w:before="20" w:after="40"/>
      </w:pPr>
      <w:r>
        <w:rPr>
          <w:rFonts w:ascii="Segoe UI" w:hAnsi="Segoe UI"/>
          <w:b/>
          <w:i w:val="0"/>
          <w:color w:val="1F2937"/>
          <w:sz w:val="19"/>
        </w:rPr>
        <w:t>Plan Editor</w:t>
      </w:r>
      <w:r>
        <w:rPr>
          <w:rFonts w:ascii="Segoe UI" w:hAnsi="Segoe UI"/>
          <w:b w:val="0"/>
          <w:i w:val="0"/>
          <w:color w:val="1F2937"/>
          <w:sz w:val="19"/>
        </w:rPr>
        <w:t>: The foundation of your financial model. Enter and manage your household demographics, investment accounts, individual portfolio holdings, income streams, living expenses, debts, economic assumptions, healthcare costs, real estate, and what-if scenarios.</w:t>
      </w:r>
    </w:p>
    <w:p>
      <w:pPr>
        <w:pStyle w:val="ListNumber"/>
        <w:spacing w:before="20" w:after="40"/>
      </w:pPr>
      <w:r>
        <w:rPr>
          <w:rFonts w:ascii="Segoe UI" w:hAnsi="Segoe UI"/>
          <w:b/>
          <w:i w:val="0"/>
          <w:color w:val="1F2937"/>
          <w:sz w:val="19"/>
        </w:rPr>
        <w:t>Explorers</w:t>
      </w:r>
      <w:r>
        <w:rPr>
          <w:rFonts w:ascii="Segoe UI" w:hAnsi="Segoe UI"/>
          <w:b w:val="0"/>
          <w:i w:val="0"/>
          <w:color w:val="1F2937"/>
          <w:sz w:val="19"/>
        </w:rPr>
        <w:t>: Nine interactive decision engines that let you test different financial strategies—including retirement age sliders, Monte Carlo stress-testing, cash flow diagrams, Roth conversion optimization, Social Security claiming strategies, withdrawal sequencing, historical market backtesting, college 529 planning, and emergency family access.</w:t>
      </w:r>
    </w:p>
    <w:p>
      <w:pPr>
        <w:pStyle w:val="ListNumber"/>
        <w:spacing w:before="20" w:after="40"/>
      </w:pPr>
      <w:r>
        <w:rPr>
          <w:rFonts w:ascii="Segoe UI" w:hAnsi="Segoe UI"/>
          <w:b/>
          <w:i w:val="0"/>
          <w:color w:val="1F2937"/>
          <w:sz w:val="19"/>
        </w:rPr>
        <w:t>AI Assistant</w:t>
      </w:r>
      <w:r>
        <w:rPr>
          <w:rFonts w:ascii="Segoe UI" w:hAnsi="Segoe UI"/>
          <w:b w:val="0"/>
          <w:i w:val="0"/>
          <w:color w:val="1F2937"/>
          <w:sz w:val="19"/>
        </w:rPr>
        <w:t>: Your conversational financial copilot. Ask plain-English questions about your plan, simulate hypothetical changes, and converse via text or hands-free voice mode.</w:t>
      </w:r>
    </w:p>
    <w:p>
      <w:pPr>
        <w:pStyle w:val="ListNumber"/>
        <w:spacing w:before="20" w:after="40"/>
      </w:pPr>
      <w:r>
        <w:rPr>
          <w:rFonts w:ascii="Segoe UI" w:hAnsi="Segoe UI"/>
          <w:b/>
          <w:i w:val="0"/>
          <w:color w:val="1F2937"/>
          <w:sz w:val="19"/>
        </w:rPr>
        <w:t>Settings</w:t>
      </w:r>
      <w:r>
        <w:rPr>
          <w:rFonts w:ascii="Segoe UI" w:hAnsi="Segoe UI"/>
          <w:b w:val="0"/>
          <w:i w:val="0"/>
          <w:color w:val="1F2937"/>
          <w:sz w:val="19"/>
        </w:rPr>
        <w:t>: Manage your account security, subscription and billing, data exports, and plan reset options.</w:t>
      </w:r>
    </w:p>
    <w:p>
      <w:r>
        <w:br w:type="page"/>
      </w:r>
    </w:p>
    <w:p>
      <w:pPr>
        <w:keepNext/>
        <w:spacing w:before="440" w:after="160"/>
      </w:pPr>
      <w:r>
        <w:rPr>
          <w:rFonts w:ascii="Segoe UI" w:hAnsi="Segoe UI"/>
          <w:b/>
          <w:i w:val="0"/>
          <w:color w:val="1E3A8A"/>
          <w:sz w:val="40"/>
        </w:rPr>
        <w:t>CHAPTER 2: Getting Started &amp; Your First Plan</w:t>
      </w:r>
    </w:p>
    <w:p>
      <w:pPr>
        <w:keepNext/>
        <w:spacing w:before="320" w:after="120"/>
      </w:pPr>
      <w:r>
        <w:rPr>
          <w:rFonts w:ascii="Segoe UI" w:hAnsi="Segoe UI"/>
          <w:b/>
          <w:i w:val="0"/>
          <w:color w:val="2563EB"/>
          <w:sz w:val="30"/>
        </w:rPr>
        <w:t>2.1 Creating Your Account &amp; Signing In</w:t>
      </w:r>
    </w:p>
    <w:p>
      <w:pPr>
        <w:spacing w:before="40" w:after="80" w:line="276" w:lineRule="auto"/>
      </w:pPr>
      <w:r>
        <w:rPr>
          <w:rFonts w:ascii="Segoe UI" w:hAnsi="Segoe UI"/>
          <w:b w:val="0"/>
          <w:i w:val="0"/>
          <w:color w:val="1F2937"/>
          <w:sz w:val="19"/>
        </w:rPr>
        <w:t>To begin using Financho:</w:t>
      </w:r>
    </w:p>
    <w:p>
      <w:pPr>
        <w:pStyle w:val="ListNumber"/>
        <w:spacing w:before="20" w:after="40"/>
      </w:pPr>
      <w:r>
        <w:rPr>
          <w:rFonts w:ascii="Segoe UI" w:hAnsi="Segoe UI"/>
          <w:b w:val="0"/>
          <w:i w:val="0"/>
          <w:color w:val="1F2937"/>
          <w:sz w:val="19"/>
        </w:rPr>
        <w:t xml:space="preserve">Navigate to the </w:t>
      </w:r>
      <w:r>
        <w:rPr>
          <w:rFonts w:ascii="Segoe UI" w:hAnsi="Segoe UI"/>
          <w:b/>
          <w:i w:val="0"/>
          <w:color w:val="1F2937"/>
          <w:sz w:val="19"/>
        </w:rPr>
        <w:t>Sign In</w:t>
      </w:r>
      <w:r>
        <w:rPr>
          <w:rFonts w:ascii="Segoe UI" w:hAnsi="Segoe UI"/>
          <w:b w:val="0"/>
          <w:i w:val="0"/>
          <w:color w:val="1F2937"/>
          <w:sz w:val="19"/>
        </w:rPr>
        <w:t xml:space="preserve"> or </w:t>
      </w:r>
      <w:r>
        <w:rPr>
          <w:rFonts w:ascii="Segoe UI" w:hAnsi="Segoe UI"/>
          <w:b/>
          <w:i w:val="0"/>
          <w:color w:val="1F2937"/>
          <w:sz w:val="19"/>
        </w:rPr>
        <w:t>Sign Up</w:t>
      </w:r>
      <w:r>
        <w:rPr>
          <w:rFonts w:ascii="Segoe UI" w:hAnsi="Segoe UI"/>
          <w:b w:val="0"/>
          <w:i w:val="0"/>
          <w:color w:val="1F2937"/>
          <w:sz w:val="19"/>
        </w:rPr>
        <w:t xml:space="preserve"> page.</w:t>
      </w:r>
    </w:p>
    <w:p>
      <w:pPr>
        <w:pStyle w:val="ListNumber"/>
        <w:spacing w:before="20" w:after="40"/>
      </w:pPr>
      <w:r>
        <w:rPr>
          <w:rFonts w:ascii="Segoe UI" w:hAnsi="Segoe UI"/>
          <w:b w:val="0"/>
          <w:i w:val="0"/>
          <w:color w:val="1F2937"/>
          <w:sz w:val="19"/>
        </w:rPr>
        <w:t>Enter your email address and choose a secure password (minimum 6 characters).</w:t>
      </w:r>
    </w:p>
    <w:p>
      <w:pPr>
        <w:pStyle w:val="ListNumber"/>
        <w:spacing w:before="20" w:after="40"/>
      </w:pPr>
      <w:r>
        <w:rPr>
          <w:rFonts w:ascii="Segoe UI" w:hAnsi="Segoe UI"/>
          <w:b w:val="0"/>
          <w:i w:val="0"/>
          <w:color w:val="1F2937"/>
          <w:sz w:val="19"/>
        </w:rPr>
        <w:t>Once authenticated, your session remains securely active on your browser.</w:t>
      </w:r>
    </w:p>
    <w:p>
      <w:pPr>
        <w:pStyle w:val="ListNumber"/>
        <w:spacing w:before="20" w:after="40"/>
      </w:pPr>
      <w:r>
        <w:rPr>
          <w:rFonts w:ascii="Segoe UI" w:hAnsi="Segoe UI"/>
          <w:b w:val="0"/>
          <w:i w:val="0"/>
          <w:color w:val="1F2937"/>
          <w:sz w:val="19"/>
        </w:rPr>
        <w:t xml:space="preserve">You can update your password or profile at any time in </w:t>
      </w:r>
      <w:r>
        <w:rPr>
          <w:rFonts w:ascii="Segoe UI" w:hAnsi="Segoe UI"/>
          <w:b/>
          <w:i w:val="0"/>
          <w:color w:val="1F2937"/>
          <w:sz w:val="19"/>
        </w:rPr>
        <w:t>Settings</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Security</w:t>
      </w:r>
      <w:r>
        <w:rPr>
          <w:rFonts w:ascii="Segoe UI" w:hAnsi="Segoe UI"/>
          <w:b w:val="0"/>
          <w:i w:val="0"/>
          <w:color w:val="1F2937"/>
          <w:sz w:val="19"/>
        </w:rPr>
        <w: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2.2 The Guided Onboarding Questionnaire</w:t>
      </w:r>
    </w:p>
    <w:p>
      <w:pPr>
        <w:spacing w:before="40" w:after="80" w:line="276" w:lineRule="auto"/>
      </w:pPr>
      <w:r>
        <w:rPr>
          <w:rFonts w:ascii="Segoe UI" w:hAnsi="Segoe UI"/>
          <w:b w:val="0"/>
          <w:i w:val="0"/>
          <w:color w:val="1F2937"/>
          <w:sz w:val="19"/>
        </w:rPr>
        <w:t>If you are new to Financho, the guided setup wizard walks you through four quick questions to build your initial plan in under two minutes:</w:t>
      </w:r>
    </w:p>
    <w:p>
      <w:pPr>
        <w:pStyle w:val="ListNumber"/>
        <w:spacing w:before="20" w:after="40"/>
      </w:pPr>
      <w:r>
        <w:rPr>
          <w:rFonts w:ascii="Segoe UI" w:hAnsi="Segoe UI"/>
          <w:b/>
          <w:i w:val="0"/>
          <w:color w:val="1F2937"/>
          <w:sz w:val="19"/>
        </w:rPr>
        <w:t>Current Age</w:t>
      </w:r>
      <w:r>
        <w:rPr>
          <w:rFonts w:ascii="Segoe UI" w:hAnsi="Segoe UI"/>
          <w:b w:val="0"/>
          <w:i w:val="0"/>
          <w:color w:val="1F2937"/>
          <w:sz w:val="19"/>
        </w:rPr>
        <w:t>: Enter your current age. Financho uses this to calculate your actuarial time horizon, your Social Security Full Retirement Age (FRA), and the year when mandatory retirement distributions begin.</w:t>
      </w:r>
    </w:p>
    <w:p>
      <w:pPr>
        <w:pStyle w:val="ListNumber"/>
        <w:spacing w:before="20" w:after="40"/>
      </w:pPr>
      <w:r>
        <w:rPr>
          <w:rFonts w:ascii="Segoe UI" w:hAnsi="Segoe UI"/>
          <w:b/>
          <w:i w:val="0"/>
          <w:color w:val="1F2937"/>
          <w:sz w:val="19"/>
        </w:rPr>
        <w:t>Annual Work Income</w:t>
      </w:r>
      <w:r>
        <w:rPr>
          <w:rFonts w:ascii="Segoe UI" w:hAnsi="Segoe UI"/>
          <w:b w:val="0"/>
          <w:i w:val="0"/>
          <w:color w:val="1F2937"/>
          <w:sz w:val="19"/>
        </w:rPr>
        <w:t>: Enter your current gross pre-tax salary or earnings. This establishes your pre-retirement baseline and powers your estimated Social Security benefits.</w:t>
      </w:r>
    </w:p>
    <w:p>
      <w:pPr>
        <w:pStyle w:val="ListNumber"/>
        <w:spacing w:before="20" w:after="40"/>
      </w:pPr>
      <w:r>
        <w:rPr>
          <w:rFonts w:ascii="Segoe UI" w:hAnsi="Segoe UI"/>
          <w:b/>
          <w:i w:val="0"/>
          <w:color w:val="1F2937"/>
          <w:sz w:val="19"/>
        </w:rPr>
        <w:t>Current Retirement Savings</w:t>
      </w:r>
      <w:r>
        <w:rPr>
          <w:rFonts w:ascii="Segoe UI" w:hAnsi="Segoe UI"/>
          <w:b w:val="0"/>
          <w:i w:val="0"/>
          <w:color w:val="1F2937"/>
          <w:sz w:val="19"/>
        </w:rPr>
        <w:t>: Enter the total combined balance across your retirement accounts (such as 401(k)s, IRAs, and savings). A rough estimate is completely fine—you can enter exact account details later.</w:t>
      </w:r>
    </w:p>
    <w:p>
      <w:pPr>
        <w:pStyle w:val="ListNumber"/>
        <w:spacing w:before="20" w:after="40"/>
      </w:pPr>
      <w:r>
        <w:rPr>
          <w:rFonts w:ascii="Segoe UI" w:hAnsi="Segoe UI"/>
          <w:b/>
          <w:i w:val="0"/>
          <w:color w:val="1F2937"/>
          <w:sz w:val="19"/>
        </w:rPr>
        <w:t>Target Retirement Age</w:t>
      </w:r>
      <w:r>
        <w:rPr>
          <w:rFonts w:ascii="Segoe UI" w:hAnsi="Segoe UI"/>
          <w:b w:val="0"/>
          <w:i w:val="0"/>
          <w:color w:val="1F2937"/>
          <w:sz w:val="19"/>
        </w:rPr>
        <w:t>: Use the interactive slider (ages 55 to 70) to select your ideal retirement age.</w:t>
      </w:r>
    </w:p>
    <w:p>
      <w:pPr>
        <w:pStyle w:val="ListNumber"/>
        <w:spacing w:before="20" w:after="40"/>
      </w:pPr>
      <w:r>
        <w:rPr>
          <w:rFonts w:ascii="Segoe UI" w:hAnsi="Segoe UI"/>
          <w:b/>
          <w:i w:val="0"/>
          <w:color w:val="1F2937"/>
          <w:sz w:val="19"/>
        </w:rPr>
        <w:t>Interactive Social Security Preview</w:t>
      </w:r>
      <w:r>
        <w:rPr>
          <w:rFonts w:ascii="Segoe UI" w:hAnsi="Segoe UI"/>
          <w:b w:val="0"/>
          <w:i w:val="0"/>
          <w:color w:val="1F2937"/>
          <w:sz w:val="19"/>
        </w:rPr>
        <w:t>: Financho immediately presents a personalized comparison showing how your monthly and lifetime payouts change if you claim at age 62 (early reduction), age 67 (full retirement age), or age 70 (delayed maximum credits).</w:t>
      </w:r>
    </w:p>
    <w:p>
      <w:pPr>
        <w:pStyle w:val="ListNumber"/>
        <w:spacing w:before="20" w:after="40"/>
      </w:pPr>
      <w:r>
        <w:rPr>
          <w:rFonts w:ascii="Segoe UI" w:hAnsi="Segoe UI"/>
          <w:b/>
          <w:i w:val="0"/>
          <w:color w:val="1F2937"/>
          <w:sz w:val="19"/>
        </w:rPr>
        <w:t>Save &amp; Launch</w:t>
      </w:r>
      <w:r>
        <w:rPr>
          <w:rFonts w:ascii="Segoe UI" w:hAnsi="Segoe UI"/>
          <w:b w:val="0"/>
          <w:i w:val="0"/>
          <w:color w:val="1F2937"/>
          <w:sz w:val="19"/>
        </w:rPr>
        <w:t xml:space="preserve">: Click </w:t>
      </w:r>
      <w:r>
        <w:rPr>
          <w:rFonts w:ascii="Segoe UI" w:hAnsi="Segoe UI"/>
          <w:b/>
          <w:i w:val="0"/>
          <w:color w:val="1F2937"/>
          <w:sz w:val="19"/>
        </w:rPr>
        <w:t>Save this &amp; unlock my full plan</w:t>
      </w:r>
      <w:r>
        <w:rPr>
          <w:rFonts w:ascii="Segoe UI" w:hAnsi="Segoe UI"/>
          <w:b w:val="0"/>
          <w:i w:val="0"/>
          <w:color w:val="1F2937"/>
          <w:sz w:val="19"/>
        </w:rPr>
        <w:t>. Financho automatically populates your workspace with a complete, fully customized starting model.</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2.3 The In-App Setup Checklist</w:t>
      </w:r>
    </w:p>
    <w:p>
      <w:pPr>
        <w:spacing w:before="40" w:after="80" w:line="276" w:lineRule="auto"/>
      </w:pPr>
      <w:r>
        <w:rPr>
          <w:rFonts w:ascii="Segoe UI" w:hAnsi="Segoe UI"/>
          <w:b w:val="0"/>
          <w:i w:val="0"/>
          <w:color w:val="1F2937"/>
          <w:sz w:val="19"/>
        </w:rPr>
        <w:t>After completing the initial questionnaire, the In-App Launchpad provides a guided checklist to help you refine your numbers:</w:t>
      </w:r>
    </w:p>
    <w:p>
      <w:pPr>
        <w:pStyle w:val="ListBullet"/>
        <w:spacing w:before="20" w:after="40"/>
      </w:pPr>
      <w:r>
        <w:rPr>
          <w:rFonts w:ascii="Segoe UI" w:hAnsi="Segoe UI"/>
          <w:b/>
          <w:i w:val="0"/>
          <w:color w:val="1F2937"/>
          <w:sz w:val="19"/>
        </w:rPr>
        <w:t>Step 1: Update Profile</w:t>
      </w:r>
      <w:r>
        <w:rPr>
          <w:rFonts w:ascii="Segoe UI" w:hAnsi="Segoe UI"/>
          <w:b w:val="0"/>
          <w:i w:val="0"/>
          <w:color w:val="1F2937"/>
          <w:sz w:val="19"/>
        </w:rPr>
        <w:t>: Confirm your birth year, planned life expectancy, state of residence, and add a spouse or partner if applicable.</w:t>
      </w:r>
    </w:p>
    <w:p>
      <w:pPr>
        <w:pStyle w:val="ListBullet"/>
        <w:spacing w:before="20" w:after="40"/>
      </w:pPr>
      <w:r>
        <w:rPr>
          <w:rFonts w:ascii="Segoe UI" w:hAnsi="Segoe UI"/>
          <w:b/>
          <w:i w:val="0"/>
          <w:color w:val="1F2937"/>
          <w:sz w:val="19"/>
        </w:rPr>
        <w:t>Step 2: Add Accounts</w:t>
      </w:r>
      <w:r>
        <w:rPr>
          <w:rFonts w:ascii="Segoe UI" w:hAnsi="Segoe UI"/>
          <w:b w:val="0"/>
          <w:i w:val="0"/>
          <w:color w:val="1F2937"/>
          <w:sz w:val="19"/>
        </w:rPr>
        <w:t>: Split your savings into specific account types (Taxable, Traditional 401(k)/IRA, Roth IRA, and Cash).</w:t>
      </w:r>
    </w:p>
    <w:p>
      <w:pPr>
        <w:pStyle w:val="ListBullet"/>
        <w:spacing w:before="20" w:after="40"/>
      </w:pPr>
      <w:r>
        <w:rPr>
          <w:rFonts w:ascii="Segoe UI" w:hAnsi="Segoe UI"/>
          <w:b/>
          <w:i w:val="0"/>
          <w:color w:val="1F2937"/>
          <w:sz w:val="19"/>
        </w:rPr>
        <w:t>Step 3: Refine Incomes</w:t>
      </w:r>
      <w:r>
        <w:rPr>
          <w:rFonts w:ascii="Segoe UI" w:hAnsi="Segoe UI"/>
          <w:b w:val="0"/>
          <w:i w:val="0"/>
          <w:color w:val="1F2937"/>
          <w:sz w:val="19"/>
        </w:rPr>
        <w:t>: Add pensions, annuities, or anticipated bonuses.</w:t>
      </w:r>
    </w:p>
    <w:p>
      <w:pPr>
        <w:pStyle w:val="ListBullet"/>
        <w:spacing w:before="20" w:after="40"/>
      </w:pPr>
      <w:r>
        <w:rPr>
          <w:rFonts w:ascii="Segoe UI" w:hAnsi="Segoe UI"/>
          <w:b/>
          <w:i w:val="0"/>
          <w:color w:val="1F2937"/>
          <w:sz w:val="19"/>
        </w:rPr>
        <w:t>Step 4: Categorize Expenses</w:t>
      </w:r>
      <w:r>
        <w:rPr>
          <w:rFonts w:ascii="Segoe UI" w:hAnsi="Segoe UI"/>
          <w:b w:val="0"/>
          <w:i w:val="0"/>
          <w:color w:val="1F2937"/>
          <w:sz w:val="19"/>
        </w:rPr>
        <w:t>: Divide your budget into Essential living costs and Discretionary lifestyle spending.</w:t>
      </w:r>
    </w:p>
    <w:p>
      <w:pPr>
        <w:pStyle w:val="ListBullet"/>
        <w:spacing w:before="20" w:after="40"/>
      </w:pPr>
      <w:r>
        <w:rPr>
          <w:rFonts w:ascii="Segoe UI" w:hAnsi="Segoe UI"/>
          <w:b/>
          <w:i w:val="0"/>
          <w:color w:val="1F2937"/>
          <w:sz w:val="19"/>
        </w:rPr>
        <w:t>Step 5: Review Assumptions</w:t>
      </w:r>
      <w:r>
        <w:rPr>
          <w:rFonts w:ascii="Segoe UI" w:hAnsi="Segoe UI"/>
          <w:b w:val="0"/>
          <w:i w:val="0"/>
          <w:color w:val="1F2937"/>
          <w:sz w:val="19"/>
        </w:rPr>
        <w:t>: Set your expected investment returns, inflation expectations, and dynamic spending guardrails.</w:t>
      </w:r>
    </w:p>
    <w:p>
      <w:pPr>
        <w:pStyle w:val="ListBullet"/>
        <w:spacing w:before="20" w:after="40"/>
      </w:pPr>
      <w:r>
        <w:rPr>
          <w:rFonts w:ascii="Segoe UI" w:hAnsi="Segoe UI"/>
          <w:b/>
          <w:i w:val="0"/>
          <w:color w:val="1F2937"/>
          <w:sz w:val="19"/>
        </w:rPr>
        <w:t>Step 6: Open Dashboard</w:t>
      </w:r>
      <w:r>
        <w:rPr>
          <w:rFonts w:ascii="Segoe UI" w:hAnsi="Segoe UI"/>
          <w:b w:val="0"/>
          <w:i w:val="0"/>
          <w:color w:val="1F2937"/>
          <w:sz w:val="19"/>
        </w:rPr>
        <w:t>: Inspect your overall probability of success and personalized coaching recommendations.</w:t>
      </w:r>
    </w:p>
    <w:p>
      <w:r>
        <w:br w:type="page"/>
      </w:r>
    </w:p>
    <w:p>
      <w:pPr>
        <w:keepNext/>
        <w:spacing w:before="440" w:after="160"/>
      </w:pPr>
      <w:r>
        <w:rPr>
          <w:rFonts w:ascii="Segoe UI" w:hAnsi="Segoe UI"/>
          <w:b/>
          <w:i w:val="0"/>
          <w:color w:val="1E3A8A"/>
          <w:sz w:val="40"/>
        </w:rPr>
        <w:t>CHAPTER 3: The Command Center Dashboard</w:t>
      </w:r>
    </w:p>
    <w:p>
      <w:pPr>
        <w:keepNext/>
        <w:spacing w:before="320" w:after="120"/>
      </w:pPr>
      <w:r>
        <w:rPr>
          <w:rFonts w:ascii="Segoe UI" w:hAnsi="Segoe UI"/>
          <w:b/>
          <w:i w:val="0"/>
          <w:color w:val="2563EB"/>
          <w:sz w:val="30"/>
        </w:rPr>
        <w:t>3.1 Overview</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Dashboard</w:t>
      </w:r>
      <w:r>
        <w:rPr>
          <w:rFonts w:ascii="Segoe UI" w:hAnsi="Segoe UI"/>
          <w:b w:val="0"/>
          <w:i w:val="0"/>
          <w:color w:val="1F2937"/>
          <w:sz w:val="19"/>
        </w:rPr>
        <w:t xml:space="preserve"> is your primary dashboard for tracking your wealth, financial solvency, and plan health. It continuously recalculates in real time as you adjust your plan.</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3.2 Roth Conversion Banner</w:t>
      </w:r>
    </w:p>
    <w:p>
      <w:pPr>
        <w:spacing w:before="40" w:after="80" w:line="276" w:lineRule="auto"/>
      </w:pPr>
      <w:r>
        <w:rPr>
          <w:rFonts w:ascii="Segoe UI" w:hAnsi="Segoe UI"/>
          <w:b w:val="0"/>
          <w:i w:val="0"/>
          <w:color w:val="1F2937"/>
          <w:sz w:val="19"/>
        </w:rPr>
        <w:t xml:space="preserve">If you have an active Roth conversion strategy running (set up from the Roth Conversion Explorer), a banner appears at the top of your Dashboard summarizing the total amount converted so far, how many years the strategy runs, the age range it covers, your average annual conversion amount, and its total tax cost. Click the banner to jump straight to the </w:t>
      </w:r>
      <w:r>
        <w:rPr>
          <w:rFonts w:ascii="Segoe UI" w:hAnsi="Segoe UI"/>
          <w:b/>
          <w:i w:val="0"/>
          <w:color w:val="1F2937"/>
          <w:sz w:val="19"/>
        </w:rPr>
        <w:t>Roth Conversion Explorer</w:t>
      </w:r>
      <w:r>
        <w:rPr>
          <w:rFonts w:ascii="Segoe UI" w:hAnsi="Segoe UI"/>
          <w:b w:val="0"/>
          <w:i w:val="0"/>
          <w:color w:val="1F2937"/>
          <w:sz w:val="19"/>
        </w:rPr>
        <w:t xml:space="preserve"> and fine-tune the strategy.</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3.3 Key Performance Indicators (KPI Cards)</w:t>
      </w:r>
    </w:p>
    <w:tbl>
      <w:tblPr>
        <w:tblW w:type="auto" w:w="0"/>
        <w:jc w:val="center"/>
        <w:tblLook w:firstColumn="1" w:firstRow="1" w:lastColumn="0" w:lastRow="0" w:noHBand="0" w:noVBand="1" w:val="04A0"/>
      </w:tblPr>
      <w:tblGrid>
        <w:gridCol w:w="3120"/>
        <w:gridCol w:w="3120"/>
        <w:gridCol w:w="3120"/>
      </w:tblGrid>
      <w:tr>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KPI Card</w:t>
            </w:r>
          </w:p>
        </w:tc>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What It Shows</w:t>
            </w:r>
          </w:p>
        </w:tc>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How to Interpret It</w:t>
            </w:r>
          </w:p>
        </w:tc>
      </w:tr>
      <w:tr>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Current Net Worth</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Total assets minus total debts across your household.</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Excludes 529 college savings accounts (which are earmarked for education). Reflects your current real balance sheet.</w:t>
            </w:r>
          </w:p>
        </w:tc>
      </w:tr>
      <w:tr>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Net Worth at End of Plan</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Projected wealth at the end of your planned life expectancy.</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Shows your estimated legacy wealth. If liquid assets run out before life expectancy, this card alerts you with an amber/red warning indicating the exact age of depletion.</w:t>
            </w:r>
          </w:p>
        </w:tc>
      </w:tr>
      <w:tr>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Monte Carlo Success Rate</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The percentage of 10,000 market simulations where your savings last through life expectancy.</w:t>
            </w:r>
          </w:p>
        </w:tc>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80% or higher (Green)</w:t>
            </w:r>
            <w:r>
              <w:rPr>
                <w:rFonts w:ascii="Segoe UI" w:hAnsi="Segoe UI"/>
                <w:b w:val="0"/>
                <w:i w:val="0"/>
                <w:color w:val="1F2937"/>
                <w:sz w:val="17"/>
              </w:rPr>
              <w:t>: Your plan is on track.&lt;br&gt;</w:t>
            </w:r>
            <w:r>
              <w:rPr>
                <w:rFonts w:ascii="Segoe UI" w:hAnsi="Segoe UI"/>
                <w:b/>
                <w:i w:val="0"/>
                <w:color w:val="1F2937"/>
                <w:sz w:val="17"/>
              </w:rPr>
              <w:t>Below 80% (Red)</w:t>
            </w:r>
            <w:r>
              <w:rPr>
                <w:rFonts w:ascii="Segoe UI" w:hAnsi="Segoe UI"/>
                <w:b w:val="0"/>
                <w:i w:val="0"/>
                <w:color w:val="1F2937"/>
                <w:sz w:val="17"/>
              </w:rPr>
              <w:t>: Your plan carries meaningful risk; consider adjusting savings, spending, or retirement timing. (Note: the Scenarios comparison page and the Monte Carlo Explorer use a more granular three-tier scale — Green ≥85%, Amber 65–84%, Red below 65% — since they're built for comparing multiple plans side by side.)</w:t>
            </w:r>
          </w:p>
        </w:tc>
      </w:tr>
      <w:tr>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Financial Wellness Score</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A comprehensive score from 0 to 100 measuring your overall financial health across 5 pillars.</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Shows your current rating (</w:t>
            </w:r>
            <w:r>
              <w:rPr>
                <w:rFonts w:ascii="Segoe UI" w:hAnsi="Segoe UI"/>
                <w:b/>
                <w:i w:val="0"/>
                <w:color w:val="1F2937"/>
                <w:sz w:val="17"/>
              </w:rPr>
              <w:t>Strong</w:t>
            </w:r>
            <w:r>
              <w:rPr>
                <w:rFonts w:ascii="Segoe UI" w:hAnsi="Segoe UI"/>
                <w:b w:val="0"/>
                <w:i w:val="0"/>
                <w:color w:val="1F2937"/>
                <w:sz w:val="17"/>
              </w:rPr>
              <w:t xml:space="preserve">, </w:t>
            </w:r>
            <w:r>
              <w:rPr>
                <w:rFonts w:ascii="Segoe UI" w:hAnsi="Segoe UI"/>
                <w:b/>
                <w:i w:val="0"/>
                <w:color w:val="1F2937"/>
                <w:sz w:val="17"/>
              </w:rPr>
              <w:t>Good</w:t>
            </w:r>
            <w:r>
              <w:rPr>
                <w:rFonts w:ascii="Segoe UI" w:hAnsi="Segoe UI"/>
                <w:b w:val="0"/>
                <w:i w:val="0"/>
                <w:color w:val="1F2937"/>
                <w:sz w:val="17"/>
              </w:rPr>
              <w:t xml:space="preserve">, </w:t>
            </w:r>
            <w:r>
              <w:rPr>
                <w:rFonts w:ascii="Segoe UI" w:hAnsi="Segoe UI"/>
                <w:b/>
                <w:i w:val="0"/>
                <w:color w:val="1F2937"/>
                <w:sz w:val="17"/>
              </w:rPr>
              <w:t>Fair</w:t>
            </w:r>
            <w:r>
              <w:rPr>
                <w:rFonts w:ascii="Segoe UI" w:hAnsi="Segoe UI"/>
                <w:b w:val="0"/>
                <w:i w:val="0"/>
                <w:color w:val="1F2937"/>
                <w:sz w:val="17"/>
              </w:rPr>
              <w:t xml:space="preserve">, or </w:t>
            </w:r>
            <w:r>
              <w:rPr>
                <w:rFonts w:ascii="Segoe UI" w:hAnsi="Segoe UI"/>
                <w:b/>
                <w:i w:val="0"/>
                <w:color w:val="1F2937"/>
                <w:sz w:val="17"/>
              </w:rPr>
              <w:t>At Risk</w:t>
            </w:r>
            <w:r>
              <w:rPr>
                <w:rFonts w:ascii="Segoe UI" w:hAnsi="Segoe UI"/>
                <w:b w:val="0"/>
                <w:i w:val="0"/>
                <w:color w:val="1F2937"/>
                <w:sz w:val="17"/>
              </w:rPr>
              <w:t>). Click the card to open the complete pillar breakdown.</w:t>
            </w:r>
          </w:p>
        </w:tc>
      </w:tr>
    </w:tbl>
    <w:p>
      <w:pPr>
        <w:spacing w:before="0" w:after="80"/>
      </w:pP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3.4 Interactive Visualizations</w:t>
      </w:r>
    </w:p>
    <w:p>
      <w:pPr>
        <w:keepNext/>
        <w:spacing w:before="240" w:after="80"/>
      </w:pPr>
      <w:r>
        <w:rPr>
          <w:rFonts w:ascii="Segoe UI" w:hAnsi="Segoe UI"/>
          <w:b/>
          <w:i w:val="0"/>
          <w:color w:val="0F172A"/>
          <w:sz w:val="25"/>
        </w:rPr>
        <w:t>Net Worth Projection Chart</w:t>
      </w:r>
    </w:p>
    <w:p>
      <w:pPr>
        <w:pStyle w:val="ListBullet"/>
        <w:spacing w:before="20" w:after="40"/>
      </w:pPr>
      <w:r>
        <w:rPr>
          <w:rFonts w:ascii="Segoe UI" w:hAnsi="Segoe UI"/>
          <w:b/>
          <w:i w:val="0"/>
          <w:color w:val="1F2937"/>
          <w:sz w:val="19"/>
        </w:rPr>
        <w:t>Net Worth Line (Blue)</w:t>
      </w:r>
      <w:r>
        <w:rPr>
          <w:rFonts w:ascii="Segoe UI" w:hAnsi="Segoe UI"/>
          <w:b w:val="0"/>
          <w:i w:val="0"/>
          <w:color w:val="1F2937"/>
          <w:sz w:val="19"/>
        </w:rPr>
        <w:t>: Shows your total household equity, including home equity and real estate.</w:t>
      </w:r>
    </w:p>
    <w:p>
      <w:pPr>
        <w:pStyle w:val="ListBullet"/>
        <w:spacing w:before="20" w:after="40"/>
      </w:pPr>
      <w:r>
        <w:rPr>
          <w:rFonts w:ascii="Segoe UI" w:hAnsi="Segoe UI"/>
          <w:b/>
          <w:i w:val="0"/>
          <w:color w:val="1F2937"/>
          <w:sz w:val="19"/>
        </w:rPr>
        <w:t>Liquid Assets Line (Green)</w:t>
      </w:r>
      <w:r>
        <w:rPr>
          <w:rFonts w:ascii="Segoe UI" w:hAnsi="Segoe UI"/>
          <w:b w:val="0"/>
          <w:i w:val="0"/>
          <w:color w:val="1F2937"/>
          <w:sz w:val="19"/>
        </w:rPr>
        <w:t>: Shows your spendable, invested portfolio balance (cash, brokerage, IRAs, 401(k)s). This is the money available to cover living expenses.</w:t>
      </w:r>
    </w:p>
    <w:p>
      <w:pPr>
        <w:pStyle w:val="ListBullet"/>
        <w:spacing w:before="20" w:after="40"/>
      </w:pPr>
      <w:r>
        <w:rPr>
          <w:rFonts w:ascii="Segoe UI" w:hAnsi="Segoe UI"/>
          <w:b/>
          <w:i w:val="0"/>
          <w:color w:val="1F2937"/>
          <w:sz w:val="19"/>
        </w:rPr>
        <w:t>Retirement Milestone Line</w:t>
      </w:r>
      <w:r>
        <w:rPr>
          <w:rFonts w:ascii="Segoe UI" w:hAnsi="Segoe UI"/>
          <w:b w:val="0"/>
          <w:i w:val="0"/>
          <w:color w:val="1F2937"/>
          <w:sz w:val="19"/>
        </w:rPr>
        <w:t>: A vertical marker showing the transition year from employment to retirement.</w:t>
      </w:r>
    </w:p>
    <w:p>
      <w:pPr>
        <w:keepNext/>
        <w:spacing w:before="240" w:after="80"/>
      </w:pPr>
      <w:r>
        <w:rPr>
          <w:rFonts w:ascii="Segoe UI" w:hAnsi="Segoe UI"/>
          <w:b/>
          <w:i w:val="0"/>
          <w:color w:val="0F172A"/>
          <w:sz w:val="25"/>
        </w:rPr>
        <w:t>Annual Cash Flow Chart</w:t>
      </w:r>
    </w:p>
    <w:p>
      <w:pPr>
        <w:pStyle w:val="ListBullet"/>
        <w:spacing w:before="20" w:after="40"/>
      </w:pPr>
      <w:r>
        <w:rPr>
          <w:rFonts w:ascii="Segoe UI" w:hAnsi="Segoe UI"/>
          <w:b w:val="0"/>
          <w:i w:val="0"/>
          <w:color w:val="1F2937"/>
          <w:sz w:val="19"/>
        </w:rPr>
        <w:t xml:space="preserve">Compares annual </w:t>
      </w:r>
      <w:r>
        <w:rPr>
          <w:rFonts w:ascii="Segoe UI" w:hAnsi="Segoe UI"/>
          <w:b/>
          <w:i w:val="0"/>
          <w:color w:val="1F2937"/>
          <w:sz w:val="19"/>
        </w:rPr>
        <w:t>Income</w:t>
      </w:r>
      <w:r>
        <w:rPr>
          <w:rFonts w:ascii="Segoe UI" w:hAnsi="Segoe UI"/>
          <w:b w:val="0"/>
          <w:i w:val="0"/>
          <w:color w:val="1F2937"/>
          <w:sz w:val="19"/>
        </w:rPr>
        <w:t xml:space="preserve"> (work, Social Security, pensions), </w:t>
      </w:r>
      <w:r>
        <w:rPr>
          <w:rFonts w:ascii="Segoe UI" w:hAnsi="Segoe UI"/>
          <w:b/>
          <w:i w:val="0"/>
          <w:color w:val="1F2937"/>
          <w:sz w:val="19"/>
        </w:rPr>
        <w:t>Expenses</w:t>
      </w:r>
      <w:r>
        <w:rPr>
          <w:rFonts w:ascii="Segoe UI" w:hAnsi="Segoe UI"/>
          <w:b w:val="0"/>
          <w:i w:val="0"/>
          <w:color w:val="1F2937"/>
          <w:sz w:val="19"/>
        </w:rPr>
        <w:t xml:space="preserve"> (living costs adjusted for inflation), and </w:t>
      </w:r>
      <w:r>
        <w:rPr>
          <w:rFonts w:ascii="Segoe UI" w:hAnsi="Segoe UI"/>
          <w:b/>
          <w:i w:val="0"/>
          <w:color w:val="1F2937"/>
          <w:sz w:val="19"/>
        </w:rPr>
        <w:t>Taxes</w:t>
      </w:r>
      <w:r>
        <w:rPr>
          <w:rFonts w:ascii="Segoe UI" w:hAnsi="Segoe UI"/>
          <w:b w:val="0"/>
          <w:i w:val="0"/>
          <w:color w:val="1F2937"/>
          <w:sz w:val="19"/>
        </w:rPr>
        <w:t xml:space="preserve"> (federal, state, FICA, and Medicare surcharges).</w:t>
      </w:r>
    </w:p>
    <w:p>
      <w:pPr>
        <w:pStyle w:val="ListBullet"/>
        <w:spacing w:before="20" w:after="40"/>
      </w:pPr>
      <w:r>
        <w:rPr>
          <w:rFonts w:ascii="Segoe UI" w:hAnsi="Segoe UI"/>
          <w:b w:val="0"/>
          <w:i w:val="0"/>
          <w:color w:val="1F2937"/>
          <w:sz w:val="19"/>
        </w:rPr>
        <w:t>Helps you identify the exact year when earned income ends and portfolio withdrawals begin.</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3.5 Advanced Planning Panels</w:t>
      </w:r>
    </w:p>
    <w:p>
      <w:pPr>
        <w:keepNext/>
        <w:spacing w:before="240" w:after="80"/>
      </w:pPr>
      <w:r>
        <w:rPr>
          <w:rFonts w:ascii="Segoe UI" w:hAnsi="Segoe UI"/>
          <w:b/>
          <w:i w:val="0"/>
          <w:color w:val="0F172A"/>
          <w:sz w:val="25"/>
        </w:rPr>
        <w:t>"Die with Zero" Sustainable Spending Card</w:t>
      </w:r>
    </w:p>
    <w:p>
      <w:pPr>
        <w:pStyle w:val="ListBullet"/>
        <w:spacing w:before="20" w:after="40"/>
      </w:pPr>
      <w:r>
        <w:rPr>
          <w:rFonts w:ascii="Segoe UI" w:hAnsi="Segoe UI"/>
          <w:b w:val="0"/>
          <w:i w:val="0"/>
          <w:color w:val="1F2937"/>
          <w:sz w:val="19"/>
        </w:rPr>
        <w:t>Calculates the maximum flat, inflation-adjusted annual dollar amount you can comfortably spend throughout your entire retirement so that your investable savings reach zero at the end of your life expectancy.</w:t>
      </w:r>
    </w:p>
    <w:p>
      <w:pPr>
        <w:pStyle w:val="ListBullet"/>
        <w:spacing w:before="20" w:after="40"/>
      </w:pPr>
      <w:r>
        <w:rPr>
          <w:rFonts w:ascii="Segoe UI" w:hAnsi="Segoe UI"/>
          <w:b w:val="0"/>
          <w:i w:val="0"/>
          <w:color w:val="1F2937"/>
          <w:sz w:val="19"/>
        </w:rPr>
        <w:t>Provides a helpful benchmark to see whether your current lifestyle spending is conservative, optimal, or aggressive.</w:t>
      </w:r>
    </w:p>
    <w:p>
      <w:pPr>
        <w:keepNext/>
        <w:spacing w:before="240" w:after="80"/>
      </w:pPr>
      <w:r>
        <w:rPr>
          <w:rFonts w:ascii="Segoe UI" w:hAnsi="Segoe UI"/>
          <w:b/>
          <w:i w:val="0"/>
          <w:color w:val="0F172A"/>
          <w:sz w:val="25"/>
        </w:rPr>
        <w:t>Optimal Asset Allocation Panel</w:t>
      </w:r>
    </w:p>
    <w:p>
      <w:pPr>
        <w:pStyle w:val="ListBullet"/>
        <w:spacing w:before="20" w:after="40"/>
      </w:pPr>
      <w:r>
        <w:rPr>
          <w:rFonts w:ascii="Segoe UI" w:hAnsi="Segoe UI"/>
          <w:b w:val="0"/>
          <w:i w:val="0"/>
          <w:color w:val="1F2937"/>
          <w:sz w:val="19"/>
        </w:rPr>
        <w:t>Analyzes your portfolio across stock (equity) allocations from 0% to 100% to find the exact mix that mathematically maximizes your retirement success probability while preserving legacy wealth.</w:t>
      </w:r>
    </w:p>
    <w:p>
      <w:pPr>
        <w:pStyle w:val="ListBullet"/>
        <w:spacing w:before="20" w:after="40"/>
      </w:pPr>
      <w:r>
        <w:rPr>
          <w:rFonts w:ascii="Segoe UI" w:hAnsi="Segoe UI"/>
          <w:b/>
          <w:i w:val="0"/>
          <w:color w:val="1F2937"/>
          <w:sz w:val="19"/>
        </w:rPr>
        <w:t>Blue Area</w:t>
      </w:r>
      <w:r>
        <w:rPr>
          <w:rFonts w:ascii="Segoe UI" w:hAnsi="Segoe UI"/>
          <w:b w:val="0"/>
          <w:i w:val="0"/>
          <w:color w:val="1F2937"/>
          <w:sz w:val="19"/>
        </w:rPr>
        <w:t>: Your probability of retirement success across different equity percentages.</w:t>
      </w:r>
    </w:p>
    <w:p>
      <w:pPr>
        <w:pStyle w:val="ListBullet"/>
        <w:spacing w:before="20" w:after="40"/>
      </w:pPr>
      <w:r>
        <w:rPr>
          <w:rFonts w:ascii="Segoe UI" w:hAnsi="Segoe UI"/>
          <w:b/>
          <w:i w:val="0"/>
          <w:color w:val="1F2937"/>
          <w:sz w:val="19"/>
        </w:rPr>
        <w:t>Dashed Marker</w:t>
      </w:r>
      <w:r>
        <w:rPr>
          <w:rFonts w:ascii="Segoe UI" w:hAnsi="Segoe UI"/>
          <w:b w:val="0"/>
          <w:i w:val="0"/>
          <w:color w:val="1F2937"/>
          <w:sz w:val="19"/>
        </w:rPr>
        <w:t>: Your current stock allocation vs. the optimal target allocation.</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3.6 Exporting Reports &amp; Data</w:t>
      </w:r>
    </w:p>
    <w:p>
      <w:pPr>
        <w:spacing w:before="40" w:after="80" w:line="276" w:lineRule="auto"/>
      </w:pPr>
      <w:r>
        <w:rPr>
          <w:rFonts w:ascii="Segoe UI" w:hAnsi="Segoe UI"/>
          <w:b w:val="0"/>
          <w:i w:val="0"/>
          <w:color w:val="1F2937"/>
          <w:sz w:val="19"/>
        </w:rPr>
        <w:t xml:space="preserve">You can download and share your plan at any time from </w:t>
      </w:r>
      <w:r>
        <w:rPr>
          <w:rFonts w:ascii="Segoe UI" w:hAnsi="Segoe UI"/>
          <w:b/>
          <w:i w:val="0"/>
          <w:color w:val="1F2937"/>
          <w:sz w:val="19"/>
        </w:rPr>
        <w:t>Settings</w:t>
      </w:r>
      <w:r>
        <w:rPr>
          <w:rFonts w:ascii="Segoe UI" w:hAnsi="Segoe UI"/>
          <w:b w:val="0"/>
          <w:i w:val="0"/>
          <w:color w:val="1F2937"/>
          <w:sz w:val="19"/>
        </w:rPr>
        <w:t>:</w:t>
      </w:r>
    </w:p>
    <w:p>
      <w:pPr>
        <w:pStyle w:val="ListBullet"/>
        <w:spacing w:before="20" w:after="40"/>
      </w:pPr>
      <w:r>
        <w:rPr>
          <w:rFonts w:ascii="Segoe UI" w:hAnsi="Segoe UI"/>
          <w:b/>
          <w:i w:val="0"/>
          <w:color w:val="1F2937"/>
          <w:sz w:val="19"/>
        </w:rPr>
        <w:t>Executive PDF Report</w:t>
      </w:r>
      <w:r>
        <w:rPr>
          <w:rFonts w:ascii="Segoe UI" w:hAnsi="Segoe UI"/>
          <w:b w:val="0"/>
          <w:i w:val="0"/>
          <w:color w:val="1F2937"/>
          <w:sz w:val="19"/>
        </w:rPr>
        <w:t>: A beautifully formatted, multi-page planning report featuring your household snapshot, asset allocation diagrams, cash flow projections, Monte Carlo percentiles, and wellness score card. Perfect for printing or sharing with your financial advisor.</w:t>
      </w:r>
    </w:p>
    <w:p>
      <w:pPr>
        <w:pStyle w:val="ListBullet"/>
        <w:spacing w:before="20" w:after="40"/>
      </w:pPr>
      <w:r>
        <w:rPr>
          <w:rFonts w:ascii="Segoe UI" w:hAnsi="Segoe UI"/>
          <w:b/>
          <w:i w:val="0"/>
          <w:color w:val="1F2937"/>
          <w:sz w:val="19"/>
        </w:rPr>
        <w:t>CSV Account Inventory</w:t>
      </w:r>
      <w:r>
        <w:rPr>
          <w:rFonts w:ascii="Segoe UI" w:hAnsi="Segoe UI"/>
          <w:b w:val="0"/>
          <w:i w:val="0"/>
          <w:color w:val="1F2937"/>
          <w:sz w:val="19"/>
        </w:rPr>
        <w:t>: A clean spreadsheet file listing every account, institution, tax category, balance, and planned annual contribution for offline tracking.</w:t>
      </w:r>
    </w:p>
    <w:p>
      <w:r>
        <w:br w:type="page"/>
      </w:r>
    </w:p>
    <w:p>
      <w:pPr>
        <w:keepNext/>
        <w:spacing w:before="440" w:after="160"/>
      </w:pPr>
      <w:r>
        <w:rPr>
          <w:rFonts w:ascii="Segoe UI" w:hAnsi="Segoe UI"/>
          <w:b/>
          <w:i w:val="0"/>
          <w:color w:val="1E3A8A"/>
          <w:sz w:val="40"/>
        </w:rPr>
        <w:t>CHAPTER 4: Financial Wellness Score</w:t>
      </w:r>
    </w:p>
    <w:p>
      <w:pPr>
        <w:keepNext/>
        <w:spacing w:before="320" w:after="120"/>
      </w:pPr>
      <w:r>
        <w:rPr>
          <w:rFonts w:ascii="Segoe UI" w:hAnsi="Segoe UI"/>
          <w:b/>
          <w:i w:val="0"/>
          <w:color w:val="2563EB"/>
          <w:sz w:val="30"/>
        </w:rPr>
        <w:t>4.1 How the Score Works</w:t>
      </w:r>
    </w:p>
    <w:p>
      <w:pPr>
        <w:spacing w:before="40" w:after="80" w:line="276" w:lineRule="auto"/>
      </w:pPr>
      <w:r>
        <w:rPr>
          <w:rFonts w:ascii="Segoe UI" w:hAnsi="Segoe UI"/>
          <w:b w:val="0"/>
          <w:i w:val="0"/>
          <w:color w:val="1F2937"/>
          <w:sz w:val="19"/>
        </w:rPr>
        <w:t xml:space="preserve">The Financho </w:t>
      </w:r>
      <w:r>
        <w:rPr>
          <w:rFonts w:ascii="Segoe UI" w:hAnsi="Segoe UI"/>
          <w:b/>
          <w:i w:val="0"/>
          <w:color w:val="1F2937"/>
          <w:sz w:val="19"/>
        </w:rPr>
        <w:t>Financial Wellness Score</w:t>
      </w:r>
      <w:r>
        <w:rPr>
          <w:rFonts w:ascii="Segoe UI" w:hAnsi="Segoe UI"/>
          <w:b w:val="0"/>
          <w:i w:val="0"/>
          <w:color w:val="1F2937"/>
          <w:sz w:val="19"/>
        </w:rPr>
        <w:t xml:space="preserve"> is a comprehensive financial index scaled from </w:t>
      </w:r>
      <w:r>
        <w:rPr>
          <w:rFonts w:ascii="Segoe UI" w:hAnsi="Segoe UI"/>
          <w:b/>
          <w:i w:val="0"/>
          <w:color w:val="1F2937"/>
          <w:sz w:val="19"/>
        </w:rPr>
        <w:t>0 to 100</w:t>
      </w:r>
      <w:r>
        <w:rPr>
          <w:rFonts w:ascii="Segoe UI" w:hAnsi="Segoe UI"/>
          <w:b w:val="0"/>
          <w:i w:val="0"/>
          <w:color w:val="1F2937"/>
          <w:sz w:val="19"/>
        </w:rPr>
        <w:t>. Rather than simply looking at how much money you have saved, it evaluates your resilience, debt risk, emergency preparedness, and retirement trajectory across five weighted pillars:</w:t>
      </w:r>
    </w:p>
    <w:tbl>
      <w:tblPr>
        <w:tblW w:type="auto" w:w="0"/>
        <w:jc w:val="center"/>
        <w:tblLook w:firstColumn="1" w:firstRow="1" w:lastColumn="0" w:lastRow="0" w:noHBand="0" w:noVBand="1" w:val="04A0"/>
      </w:tblPr>
      <w:tblGrid>
        <w:gridCol w:w="9360"/>
      </w:tblGrid>
      <w:tr>
        <w:tc>
          <w:tcPr>
            <w:tcW w:type="dxa" w:w="9360"/>
            <w:shd w:fill="F1F5F9"/>
            <w:tcMar>
              <w:top w:w="100" w:type="dxa"/>
              <w:bottom w:w="100" w:type="dxa"/>
              <w:left w:w="150" w:type="dxa"/>
              <w:right w:w="150" w:type="dxa"/>
            </w:tcMar>
          </w:tcPr>
          <w:p>
            <w:pPr>
              <w:spacing w:before="40" w:after="40"/>
            </w:pPr>
            <w:r>
              <w:rPr>
                <w:rFonts w:ascii="Consolas" w:hAnsi="Consolas"/>
                <w:b w:val="0"/>
                <w:i w:val="0"/>
                <w:color w:val="1E293B"/>
                <w:sz w:val="17"/>
              </w:rPr>
              <w:t>Pillar 1: Retirement Success (Monte Carlo Survival)  -&gt; 25% Weight</w:t>
              <w:br/>
              <w:t>Pillar 2: Savings Rate                                -&gt; 20% Weight</w:t>
              <w:br/>
              <w:t>Pillar 3: Debt-to-Asset Ratio                         -&gt; 20% Weight</w:t>
              <w:br/>
              <w:t>Pillar 4: Emergency Cash Buffer                       -&gt; 20% Weight</w:t>
              <w:br/>
              <w:t>Pillar 5: Time Horizon &amp; Runway                       -&gt; 15% Weight</w:t>
            </w:r>
          </w:p>
        </w:tc>
      </w:tr>
    </w:tbl>
    <w:p>
      <w:pPr>
        <w:spacing w:before="0" w:after="80"/>
      </w:pP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4.2 The 5 Pillars in Detail</w:t>
      </w:r>
    </w:p>
    <w:p>
      <w:pPr>
        <w:keepNext/>
        <w:spacing w:before="240" w:after="80"/>
      </w:pPr>
      <w:r>
        <w:rPr>
          <w:rFonts w:ascii="Segoe UI" w:hAnsi="Segoe UI"/>
          <w:b/>
          <w:i w:val="0"/>
          <w:color w:val="0F172A"/>
          <w:sz w:val="25"/>
        </w:rPr>
        <w:t>Pillar 1: Retirement Success (25% Weight)</w:t>
      </w:r>
    </w:p>
    <w:p>
      <w:pPr>
        <w:pStyle w:val="ListBullet"/>
        <w:spacing w:before="20" w:after="40"/>
      </w:pPr>
      <w:r>
        <w:rPr>
          <w:rFonts w:ascii="Segoe UI" w:hAnsi="Segoe UI"/>
          <w:b/>
          <w:i w:val="0"/>
          <w:color w:val="1F2937"/>
          <w:sz w:val="19"/>
        </w:rPr>
        <w:t>What It Measures</w:t>
      </w:r>
      <w:r>
        <w:rPr>
          <w:rFonts w:ascii="Segoe UI" w:hAnsi="Segoe UI"/>
          <w:b w:val="0"/>
          <w:i w:val="0"/>
          <w:color w:val="1F2937"/>
          <w:sz w:val="19"/>
        </w:rPr>
        <w:t>: Your likelihood of not outliving your money, based on 10,000 market simulations.</w:t>
      </w:r>
    </w:p>
    <w:p>
      <w:pPr>
        <w:pStyle w:val="ListBullet"/>
        <w:spacing w:before="20" w:after="40"/>
      </w:pPr>
      <w:r>
        <w:rPr>
          <w:rFonts w:ascii="Segoe UI" w:hAnsi="Segoe UI"/>
          <w:b/>
          <w:i w:val="0"/>
          <w:color w:val="1F2937"/>
          <w:sz w:val="19"/>
        </w:rPr>
        <w:t>Benchmark Target</w:t>
      </w:r>
      <w:r>
        <w:rPr>
          <w:rFonts w:ascii="Segoe UI" w:hAnsi="Segoe UI"/>
          <w:b w:val="0"/>
          <w:i w:val="0"/>
          <w:color w:val="1F2937"/>
          <w:sz w:val="19"/>
        </w:rPr>
        <w:t xml:space="preserve">: A Monte Carlo success probability of </w:t>
      </w:r>
      <w:r>
        <w:rPr>
          <w:rFonts w:ascii="Segoe UI" w:hAnsi="Segoe UI"/>
          <w:b/>
          <w:i w:val="0"/>
          <w:color w:val="1F2937"/>
          <w:sz w:val="19"/>
        </w:rPr>
        <w:t>80% or higher</w:t>
      </w:r>
      <w:r>
        <w:rPr>
          <w:rFonts w:ascii="Segoe UI" w:hAnsi="Segoe UI"/>
          <w:b w:val="0"/>
          <w:i w:val="0"/>
          <w:color w:val="1F2937"/>
          <w:sz w:val="19"/>
        </w:rPr>
        <w:t xml:space="preserve"> earns the full 25 points.</w:t>
      </w:r>
    </w:p>
    <w:p>
      <w:pPr>
        <w:pStyle w:val="ListBullet"/>
        <w:spacing w:before="20" w:after="40"/>
      </w:pPr>
      <w:r>
        <w:rPr>
          <w:rFonts w:ascii="Segoe UI" w:hAnsi="Segoe UI"/>
          <w:b/>
          <w:i w:val="0"/>
          <w:color w:val="1F2937"/>
          <w:sz w:val="19"/>
        </w:rPr>
        <w:t>How to Improve</w:t>
      </w:r>
      <w:r>
        <w:rPr>
          <w:rFonts w:ascii="Segoe UI" w:hAnsi="Segoe UI"/>
          <w:b w:val="0"/>
          <w:i w:val="0"/>
          <w:color w:val="1F2937"/>
          <w:sz w:val="19"/>
        </w:rPr>
        <w:t>: Delay retirement by 1–2 years, increase monthly savings, or lower planned discretionary retirement spending.</w:t>
      </w:r>
    </w:p>
    <w:p>
      <w:pPr>
        <w:keepNext/>
        <w:spacing w:before="240" w:after="80"/>
      </w:pPr>
      <w:r>
        <w:rPr>
          <w:rFonts w:ascii="Segoe UI" w:hAnsi="Segoe UI"/>
          <w:b/>
          <w:i w:val="0"/>
          <w:color w:val="0F172A"/>
          <w:sz w:val="25"/>
        </w:rPr>
        <w:t>Pillar 2: Savings Rate (20% Weight)</w:t>
      </w:r>
    </w:p>
    <w:p>
      <w:pPr>
        <w:pStyle w:val="ListBullet"/>
        <w:spacing w:before="20" w:after="40"/>
      </w:pPr>
      <w:r>
        <w:rPr>
          <w:rFonts w:ascii="Segoe UI" w:hAnsi="Segoe UI"/>
          <w:b/>
          <w:i w:val="0"/>
          <w:color w:val="1F2937"/>
          <w:sz w:val="19"/>
        </w:rPr>
        <w:t>What It Measures</w:t>
      </w:r>
      <w:r>
        <w:rPr>
          <w:rFonts w:ascii="Segoe UI" w:hAnsi="Segoe UI"/>
          <w:b w:val="0"/>
          <w:i w:val="0"/>
          <w:color w:val="1F2937"/>
          <w:sz w:val="19"/>
        </w:rPr>
        <w:t>: The percentage of your active work income currently being saved into retirement and investment accounts.</w:t>
      </w:r>
    </w:p>
    <w:p>
      <w:pPr>
        <w:pStyle w:val="ListBullet"/>
        <w:spacing w:before="20" w:after="40"/>
      </w:pPr>
      <w:r>
        <w:rPr>
          <w:rFonts w:ascii="Segoe UI" w:hAnsi="Segoe UI"/>
          <w:b/>
          <w:i w:val="0"/>
          <w:color w:val="1F2937"/>
          <w:sz w:val="19"/>
        </w:rPr>
        <w:t>Benchmark Target</w:t>
      </w:r>
      <w:r>
        <w:rPr>
          <w:rFonts w:ascii="Segoe UI" w:hAnsi="Segoe UI"/>
          <w:b w:val="0"/>
          <w:i w:val="0"/>
          <w:color w:val="1F2937"/>
          <w:sz w:val="19"/>
        </w:rPr>
        <w:t xml:space="preserve">: Saving </w:t>
      </w:r>
      <w:r>
        <w:rPr>
          <w:rFonts w:ascii="Segoe UI" w:hAnsi="Segoe UI"/>
          <w:b/>
          <w:i w:val="0"/>
          <w:color w:val="1F2937"/>
          <w:sz w:val="19"/>
        </w:rPr>
        <w:t>15% or more</w:t>
      </w:r>
      <w:r>
        <w:rPr>
          <w:rFonts w:ascii="Segoe UI" w:hAnsi="Segoe UI"/>
          <w:b w:val="0"/>
          <w:i w:val="0"/>
          <w:color w:val="1F2937"/>
          <w:sz w:val="19"/>
        </w:rPr>
        <w:t xml:space="preserve"> of gross earnings earns the full 20 points.</w:t>
      </w:r>
    </w:p>
    <w:p>
      <w:pPr>
        <w:pStyle w:val="ListBullet"/>
        <w:spacing w:before="20" w:after="40"/>
      </w:pPr>
      <w:r>
        <w:rPr>
          <w:rFonts w:ascii="Segoe UI" w:hAnsi="Segoe UI"/>
          <w:b/>
          <w:i w:val="0"/>
          <w:color w:val="1F2937"/>
          <w:sz w:val="19"/>
        </w:rPr>
        <w:t>How to Improve</w:t>
      </w:r>
      <w:r>
        <w:rPr>
          <w:rFonts w:ascii="Segoe UI" w:hAnsi="Segoe UI"/>
          <w:b w:val="0"/>
          <w:i w:val="0"/>
          <w:color w:val="1F2937"/>
          <w:sz w:val="19"/>
        </w:rPr>
        <w:t>: Increase automated payroll contributions to your 401(k), IRA, or HSA by 1% to 2% each year.</w:t>
      </w:r>
    </w:p>
    <w:p>
      <w:pPr>
        <w:keepNext/>
        <w:spacing w:before="240" w:after="80"/>
      </w:pPr>
      <w:r>
        <w:rPr>
          <w:rFonts w:ascii="Segoe UI" w:hAnsi="Segoe UI"/>
          <w:b/>
          <w:i w:val="0"/>
          <w:color w:val="0F172A"/>
          <w:sz w:val="25"/>
        </w:rPr>
        <w:t>Pillar 3: Debt-to-Asset Ratio (20% Weight)</w:t>
      </w:r>
    </w:p>
    <w:p>
      <w:pPr>
        <w:pStyle w:val="ListBullet"/>
        <w:spacing w:before="20" w:after="40"/>
      </w:pPr>
      <w:r>
        <w:rPr>
          <w:rFonts w:ascii="Segoe UI" w:hAnsi="Segoe UI"/>
          <w:b/>
          <w:i w:val="0"/>
          <w:color w:val="1F2937"/>
          <w:sz w:val="19"/>
        </w:rPr>
        <w:t>What It Measures</w:t>
      </w:r>
      <w:r>
        <w:rPr>
          <w:rFonts w:ascii="Segoe UI" w:hAnsi="Segoe UI"/>
          <w:b w:val="0"/>
          <w:i w:val="0"/>
          <w:color w:val="1F2937"/>
          <w:sz w:val="19"/>
        </w:rPr>
        <w:t>: How much of your net worth is free from debt encumbrance.</w:t>
      </w:r>
    </w:p>
    <w:p>
      <w:pPr>
        <w:pStyle w:val="ListBullet"/>
        <w:spacing w:before="20" w:after="40"/>
      </w:pPr>
      <w:r>
        <w:rPr>
          <w:rFonts w:ascii="Segoe UI" w:hAnsi="Segoe UI"/>
          <w:b/>
          <w:i w:val="0"/>
          <w:color w:val="1F2937"/>
          <w:sz w:val="19"/>
        </w:rPr>
        <w:t>Benchmark Target</w:t>
      </w:r>
      <w:r>
        <w:rPr>
          <w:rFonts w:ascii="Segoe UI" w:hAnsi="Segoe UI"/>
          <w:b w:val="0"/>
          <w:i w:val="0"/>
          <w:color w:val="1F2937"/>
          <w:sz w:val="19"/>
        </w:rPr>
        <w:t xml:space="preserve">: Maintaining debt balances at </w:t>
      </w:r>
      <w:r>
        <w:rPr>
          <w:rFonts w:ascii="Segoe UI" w:hAnsi="Segoe UI"/>
          <w:b/>
          <w:i w:val="0"/>
          <w:color w:val="1F2937"/>
          <w:sz w:val="19"/>
        </w:rPr>
        <w:t>30% or less</w:t>
      </w:r>
      <w:r>
        <w:rPr>
          <w:rFonts w:ascii="Segoe UI" w:hAnsi="Segoe UI"/>
          <w:b w:val="0"/>
          <w:i w:val="0"/>
          <w:color w:val="1F2937"/>
          <w:sz w:val="19"/>
        </w:rPr>
        <w:t xml:space="preserve"> of total assets (at least 70% unencumbered wealth) achieves the highest score.</w:t>
      </w:r>
    </w:p>
    <w:p>
      <w:pPr>
        <w:pStyle w:val="ListBullet"/>
        <w:spacing w:before="20" w:after="40"/>
      </w:pPr>
      <w:r>
        <w:rPr>
          <w:rFonts w:ascii="Segoe UI" w:hAnsi="Segoe UI"/>
          <w:b/>
          <w:i w:val="0"/>
          <w:color w:val="1F2937"/>
          <w:sz w:val="19"/>
        </w:rPr>
        <w:t>How to Improve</w:t>
      </w:r>
      <w:r>
        <w:rPr>
          <w:rFonts w:ascii="Segoe UI" w:hAnsi="Segoe UI"/>
          <w:b w:val="0"/>
          <w:i w:val="0"/>
          <w:color w:val="1F2937"/>
          <w:sz w:val="19"/>
        </w:rPr>
        <w:t>: Pay down high-interest liabilities and accelerate principal paydowns on non-mortgage loans.</w:t>
      </w:r>
    </w:p>
    <w:p>
      <w:pPr>
        <w:keepNext/>
        <w:spacing w:before="240" w:after="80"/>
      </w:pPr>
      <w:r>
        <w:rPr>
          <w:rFonts w:ascii="Segoe UI" w:hAnsi="Segoe UI"/>
          <w:b/>
          <w:i w:val="0"/>
          <w:color w:val="0F172A"/>
          <w:sz w:val="25"/>
        </w:rPr>
        <w:t>Pillar 4: Emergency Cash Buffer (20% Weight)</w:t>
      </w:r>
    </w:p>
    <w:p>
      <w:pPr>
        <w:pStyle w:val="ListBullet"/>
        <w:spacing w:before="20" w:after="40"/>
      </w:pPr>
      <w:r>
        <w:rPr>
          <w:rFonts w:ascii="Segoe UI" w:hAnsi="Segoe UI"/>
          <w:b/>
          <w:i w:val="0"/>
          <w:color w:val="1F2937"/>
          <w:sz w:val="19"/>
        </w:rPr>
        <w:t>What It Measures</w:t>
      </w:r>
      <w:r>
        <w:rPr>
          <w:rFonts w:ascii="Segoe UI" w:hAnsi="Segoe UI"/>
          <w:b w:val="0"/>
          <w:i w:val="0"/>
          <w:color w:val="1F2937"/>
          <w:sz w:val="19"/>
        </w:rPr>
        <w:t>: Your liquid cash cushion relative to annual living expenses.</w:t>
      </w:r>
    </w:p>
    <w:p>
      <w:pPr>
        <w:pStyle w:val="ListBullet"/>
        <w:spacing w:before="20" w:after="40"/>
      </w:pPr>
      <w:r>
        <w:rPr>
          <w:rFonts w:ascii="Segoe UI" w:hAnsi="Segoe UI"/>
          <w:b/>
          <w:i w:val="0"/>
          <w:color w:val="1F2937"/>
          <w:sz w:val="19"/>
        </w:rPr>
        <w:t>Benchmark Target</w:t>
      </w:r>
      <w:r>
        <w:rPr>
          <w:rFonts w:ascii="Segoe UI" w:hAnsi="Segoe UI"/>
          <w:b w:val="0"/>
          <w:i w:val="0"/>
          <w:color w:val="1F2937"/>
          <w:sz w:val="19"/>
        </w:rPr>
        <w:t xml:space="preserve">: Having </w:t>
      </w:r>
      <w:r>
        <w:rPr>
          <w:rFonts w:ascii="Segoe UI" w:hAnsi="Segoe UI"/>
          <w:b/>
          <w:i w:val="0"/>
          <w:color w:val="1F2937"/>
          <w:sz w:val="19"/>
        </w:rPr>
        <w:t>6 months of essential living expenses</w:t>
      </w:r>
      <w:r>
        <w:rPr>
          <w:rFonts w:ascii="Segoe UI" w:hAnsi="Segoe UI"/>
          <w:b w:val="0"/>
          <w:i w:val="0"/>
          <w:color w:val="1F2937"/>
          <w:sz w:val="19"/>
        </w:rPr>
        <w:t xml:space="preserve"> in liquid cash reserves awards the full 20 points. Having 3 months earns 10 points.</w:t>
      </w:r>
    </w:p>
    <w:p>
      <w:pPr>
        <w:pStyle w:val="ListBullet"/>
        <w:spacing w:before="20" w:after="40"/>
      </w:pPr>
      <w:r>
        <w:rPr>
          <w:rFonts w:ascii="Segoe UI" w:hAnsi="Segoe UI"/>
          <w:b/>
          <w:i w:val="0"/>
          <w:color w:val="1F2937"/>
          <w:sz w:val="19"/>
        </w:rPr>
        <w:t>How to Improve</w:t>
      </w:r>
      <w:r>
        <w:rPr>
          <w:rFonts w:ascii="Segoe UI" w:hAnsi="Segoe UI"/>
          <w:b w:val="0"/>
          <w:i w:val="0"/>
          <w:color w:val="1F2937"/>
          <w:sz w:val="19"/>
        </w:rPr>
        <w:t>: Direct short-term savings into a high-yield savings account until you have a 3-to-6 month safety buffer.</w:t>
      </w:r>
    </w:p>
    <w:p>
      <w:pPr>
        <w:keepNext/>
        <w:spacing w:before="240" w:after="80"/>
      </w:pPr>
      <w:r>
        <w:rPr>
          <w:rFonts w:ascii="Segoe UI" w:hAnsi="Segoe UI"/>
          <w:b/>
          <w:i w:val="0"/>
          <w:color w:val="0F172A"/>
          <w:sz w:val="25"/>
        </w:rPr>
        <w:t>Pillar 5: Time Horizon &amp; Runway (15% Weight)</w:t>
      </w:r>
    </w:p>
    <w:p>
      <w:pPr>
        <w:pStyle w:val="ListBullet"/>
        <w:spacing w:before="20" w:after="40"/>
      </w:pPr>
      <w:r>
        <w:rPr>
          <w:rFonts w:ascii="Segoe UI" w:hAnsi="Segoe UI"/>
          <w:b/>
          <w:i w:val="0"/>
          <w:color w:val="1F2937"/>
          <w:sz w:val="19"/>
        </w:rPr>
        <w:t>What It Measures</w:t>
      </w:r>
      <w:r>
        <w:rPr>
          <w:rFonts w:ascii="Segoe UI" w:hAnsi="Segoe UI"/>
          <w:b w:val="0"/>
          <w:i w:val="0"/>
          <w:color w:val="1F2937"/>
          <w:sz w:val="19"/>
        </w:rPr>
        <w:t>: The length of time you have to compound wealth before retirement, or the longevity buffer of your retirement plan.</w:t>
      </w:r>
    </w:p>
    <w:p>
      <w:pPr>
        <w:pStyle w:val="ListBullet"/>
        <w:spacing w:before="20" w:after="40"/>
      </w:pPr>
      <w:r>
        <w:rPr>
          <w:rFonts w:ascii="Segoe UI" w:hAnsi="Segoe UI"/>
          <w:b/>
          <w:i w:val="0"/>
          <w:color w:val="1F2937"/>
          <w:sz w:val="19"/>
        </w:rPr>
        <w:t>Benchmark Target</w:t>
      </w:r>
      <w:r>
        <w:rPr>
          <w:rFonts w:ascii="Segoe UI" w:hAnsi="Segoe UI"/>
          <w:b w:val="0"/>
          <w:i w:val="0"/>
          <w:color w:val="1F2937"/>
          <w:sz w:val="19"/>
        </w:rPr>
        <w:t>: Pre-retirees with 20+ years until retirement, or retirees with at least a 25-year planned solvency horizon, receive the full 15 points.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4.3 Score Classification Bands</w:t>
      </w:r>
    </w:p>
    <w:tbl>
      <w:tblPr>
        <w:tblW w:type="auto" w:w="0"/>
        <w:jc w:val="center"/>
        <w:tblLook w:firstColumn="1" w:firstRow="1" w:lastColumn="0" w:lastRow="0" w:noHBand="0" w:noVBand="1" w:val="04A0"/>
      </w:tblPr>
      <w:tblGrid>
        <w:gridCol w:w="2340"/>
        <w:gridCol w:w="2340"/>
        <w:gridCol w:w="2340"/>
        <w:gridCol w:w="2340"/>
      </w:tblGrid>
      <w:tr>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Score Range</w:t>
            </w:r>
          </w:p>
        </w:tc>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Classification</w:t>
            </w:r>
          </w:p>
        </w:tc>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What It Means</w:t>
            </w:r>
          </w:p>
        </w:tc>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Action Steps</w:t>
            </w:r>
          </w:p>
        </w:tc>
      </w:tr>
      <w:tr>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75 – 100</w:t>
            </w:r>
          </w:p>
        </w:tc>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Strong (Green)</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Exceptional financial resilience. Plan is insulated against inflation and market downturns.</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Maintain disciplined savings and periodic portfolio rebalancing.</w:t>
            </w:r>
          </w:p>
        </w:tc>
      </w:tr>
      <w:tr>
        <w:tc>
          <w:tcPr>
            <w:tcW w:type="dxa" w:w="2340"/>
            <w:tcMar>
              <w:top w:w="60" w:type="dxa"/>
              <w:bottom w:w="60" w:type="dxa"/>
              <w:left w:w="80" w:type="dxa"/>
              <w:right w:w="80" w:type="dxa"/>
            </w:tcMar>
            <w:shd w:fill="F8FAFC"/>
          </w:tcPr>
          <w:p>
            <w:pPr>
              <w:spacing w:before="40" w:after="40"/>
            </w:pPr>
            <w:r>
              <w:rPr>
                <w:rFonts w:ascii="Segoe UI" w:hAnsi="Segoe UI"/>
                <w:b/>
                <w:i w:val="0"/>
                <w:color w:val="1F2937"/>
                <w:sz w:val="17"/>
              </w:rPr>
              <w:t>60 – 74</w:t>
            </w:r>
          </w:p>
        </w:tc>
        <w:tc>
          <w:tcPr>
            <w:tcW w:type="dxa" w:w="2340"/>
            <w:tcMar>
              <w:top w:w="60" w:type="dxa"/>
              <w:bottom w:w="60" w:type="dxa"/>
              <w:left w:w="80" w:type="dxa"/>
              <w:right w:w="80" w:type="dxa"/>
            </w:tcMar>
            <w:shd w:fill="F8FAFC"/>
          </w:tcPr>
          <w:p>
            <w:pPr>
              <w:spacing w:before="40" w:after="40"/>
            </w:pPr>
            <w:r>
              <w:rPr>
                <w:rFonts w:ascii="Segoe UI" w:hAnsi="Segoe UI"/>
                <w:b/>
                <w:i w:val="0"/>
                <w:color w:val="1F2937"/>
                <w:sz w:val="17"/>
              </w:rPr>
              <w:t>Good (Blue)</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Solid trajectory with core benchmarks met. Minor vulnerabilities in cash reserves or debt.</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Build emergency reserves to 6 months and review asset allocation.</w:t>
            </w:r>
          </w:p>
        </w:tc>
      </w:tr>
      <w:tr>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40 – 59</w:t>
            </w:r>
          </w:p>
        </w:tc>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Fair (Amber)</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Moderate plan weaknesses. Savings rate is below target or retirement shortfall risk is elevated.</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Increase monthly savings rate and consider adjusting retirement timing.</w:t>
            </w:r>
          </w:p>
        </w:tc>
      </w:tr>
      <w:tr>
        <w:tc>
          <w:tcPr>
            <w:tcW w:type="dxa" w:w="2340"/>
            <w:tcMar>
              <w:top w:w="60" w:type="dxa"/>
              <w:bottom w:w="60" w:type="dxa"/>
              <w:left w:w="80" w:type="dxa"/>
              <w:right w:w="80" w:type="dxa"/>
            </w:tcMar>
            <w:shd w:fill="F8FAFC"/>
          </w:tcPr>
          <w:p>
            <w:pPr>
              <w:spacing w:before="40" w:after="40"/>
            </w:pPr>
            <w:r>
              <w:rPr>
                <w:rFonts w:ascii="Segoe UI" w:hAnsi="Segoe UI"/>
                <w:b/>
                <w:i w:val="0"/>
                <w:color w:val="1F2937"/>
                <w:sz w:val="17"/>
              </w:rPr>
              <w:t>0 – 39</w:t>
            </w:r>
          </w:p>
        </w:tc>
        <w:tc>
          <w:tcPr>
            <w:tcW w:type="dxa" w:w="2340"/>
            <w:tcMar>
              <w:top w:w="60" w:type="dxa"/>
              <w:bottom w:w="60" w:type="dxa"/>
              <w:left w:w="80" w:type="dxa"/>
              <w:right w:w="80" w:type="dxa"/>
            </w:tcMar>
            <w:shd w:fill="F8FAFC"/>
          </w:tcPr>
          <w:p>
            <w:pPr>
              <w:spacing w:before="40" w:after="40"/>
            </w:pPr>
            <w:r>
              <w:rPr>
                <w:rFonts w:ascii="Segoe UI" w:hAnsi="Segoe UI"/>
                <w:b/>
                <w:i w:val="0"/>
                <w:color w:val="1F2937"/>
                <w:sz w:val="17"/>
              </w:rPr>
              <w:t>At Risk (Red)</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High vulnerability to portfolio depletion. Immediate intervention recommended.</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Reduce discretionary budget, extend working years, or restructure high-cost debt.</w:t>
            </w:r>
          </w:p>
        </w:tc>
      </w:tr>
    </w:tbl>
    <w:p>
      <w:pPr>
        <w:spacing w:before="0" w:after="80"/>
      </w:pPr>
    </w:p>
    <w:p>
      <w:r>
        <w:br w:type="page"/>
      </w:r>
    </w:p>
    <w:p>
      <w:pPr>
        <w:keepNext/>
        <w:spacing w:before="440" w:after="160"/>
      </w:pPr>
      <w:r>
        <w:rPr>
          <w:rFonts w:ascii="Segoe UI" w:hAnsi="Segoe UI"/>
          <w:b/>
          <w:i w:val="0"/>
          <w:color w:val="1E3A8A"/>
          <w:sz w:val="40"/>
        </w:rPr>
        <w:t>CHAPTER 5: Your Personal Digital Coach</w:t>
      </w:r>
    </w:p>
    <w:p>
      <w:pPr>
        <w:keepNext/>
        <w:spacing w:before="320" w:after="120"/>
      </w:pPr>
      <w:r>
        <w:rPr>
          <w:rFonts w:ascii="Segoe UI" w:hAnsi="Segoe UI"/>
          <w:b/>
          <w:i w:val="0"/>
          <w:color w:val="2563EB"/>
          <w:sz w:val="30"/>
        </w:rPr>
        <w:t>5.1 Purpose &amp; Alert Types</w:t>
      </w:r>
    </w:p>
    <w:p>
      <w:pPr>
        <w:spacing w:before="40" w:after="80" w:line="276" w:lineRule="auto"/>
      </w:pPr>
      <w:r>
        <w:rPr>
          <w:rFonts w:ascii="Segoe UI" w:hAnsi="Segoe UI"/>
          <w:b w:val="0"/>
          <w:i w:val="0"/>
          <w:color w:val="1F2937"/>
          <w:sz w:val="19"/>
        </w:rPr>
        <w:t xml:space="preserve">The Financho </w:t>
      </w:r>
      <w:r>
        <w:rPr>
          <w:rFonts w:ascii="Segoe UI" w:hAnsi="Segoe UI"/>
          <w:b/>
          <w:i w:val="0"/>
          <w:color w:val="1F2937"/>
          <w:sz w:val="19"/>
        </w:rPr>
        <w:t>Digital Coach</w:t>
      </w:r>
      <w:r>
        <w:rPr>
          <w:rFonts w:ascii="Segoe UI" w:hAnsi="Segoe UI"/>
          <w:b w:val="0"/>
          <w:i w:val="0"/>
          <w:color w:val="1F2937"/>
          <w:sz w:val="19"/>
        </w:rPr>
        <w:t xml:space="preserve"> is an intelligent rules engine that continuously reviews your plan against established financial planning principles, tax thresholds, and simulation results.</w:t>
      </w:r>
    </w:p>
    <w:p>
      <w:pPr>
        <w:pStyle w:val="ListBullet"/>
        <w:spacing w:before="20" w:after="40"/>
      </w:pPr>
      <w:r>
        <w:rPr>
          <w:rFonts w:ascii="Segoe UI" w:hAnsi="Segoe UI"/>
          <w:b/>
          <w:i w:val="0"/>
          <w:color w:val="1F2937"/>
          <w:sz w:val="19"/>
        </w:rPr>
        <w:t>Warnings (Amber Triangle)</w:t>
      </w:r>
      <w:r>
        <w:rPr>
          <w:rFonts w:ascii="Segoe UI" w:hAnsi="Segoe UI"/>
          <w:b w:val="0"/>
          <w:i w:val="0"/>
          <w:color w:val="1F2937"/>
          <w:sz w:val="19"/>
        </w:rPr>
        <w:t>: Identify structural risks that could threaten your retirement solvency or cost you unnecessary money.</w:t>
      </w:r>
    </w:p>
    <w:p>
      <w:pPr>
        <w:pStyle w:val="ListBullet"/>
        <w:spacing w:before="20" w:after="40"/>
      </w:pPr>
      <w:r>
        <w:rPr>
          <w:rFonts w:ascii="Segoe UI" w:hAnsi="Segoe UI"/>
          <w:b/>
          <w:i w:val="0"/>
          <w:color w:val="1F2937"/>
          <w:sz w:val="19"/>
        </w:rPr>
        <w:t>Opportunities (Blue Lightbulb)</w:t>
      </w:r>
      <w:r>
        <w:rPr>
          <w:rFonts w:ascii="Segoe UI" w:hAnsi="Segoe UI"/>
          <w:b w:val="0"/>
          <w:i w:val="0"/>
          <w:color w:val="1F2937"/>
          <w:sz w:val="19"/>
        </w:rPr>
        <w:t>: Highlight tax-saving strategies, optimization windows, and positive milestones.</w:t>
      </w:r>
    </w:p>
    <w:p>
      <w:pPr>
        <w:spacing w:before="40" w:after="80" w:line="276" w:lineRule="auto"/>
      </w:pPr>
      <w:r>
        <w:rPr>
          <w:rFonts w:ascii="Segoe UI" w:hAnsi="Segoe UI"/>
          <w:b w:val="0"/>
          <w:i w:val="0"/>
          <w:color w:val="1F2937"/>
          <w:sz w:val="19"/>
        </w:rPr>
        <w:t>The coach sorts alerts by priority and displays the most important actionable recommendations directly on your Dashboard.</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5.2 Complete Guide to Coach Alerts</w:t>
      </w:r>
    </w:p>
    <w:p>
      <w:pPr>
        <w:keepNext/>
        <w:spacing w:before="240" w:after="80"/>
      </w:pPr>
      <w:r>
        <w:rPr>
          <w:rFonts w:ascii="Segoe UI" w:hAnsi="Segoe UI"/>
          <w:b/>
          <w:i w:val="0"/>
          <w:color w:val="0F172A"/>
          <w:sz w:val="25"/>
        </w:rPr>
        <w:t>1. Severe Retirement Shortfall Warning</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Your Monte Carlo retirement success rate is below 70%.</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"Monte Carlo success is X%. Consider delaying retirement, reducing expenses, or increasing savings."</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xml:space="preserve">: Open the </w:t>
      </w:r>
      <w:r>
        <w:rPr>
          <w:rFonts w:ascii="Segoe UI" w:hAnsi="Segoe UI"/>
          <w:b/>
          <w:i w:val="0"/>
          <w:color w:val="1F2937"/>
          <w:sz w:val="19"/>
        </w:rPr>
        <w:t>Projection Explorer</w:t>
      </w:r>
      <w:r>
        <w:rPr>
          <w:rFonts w:ascii="Segoe UI" w:hAnsi="Segoe UI"/>
          <w:b w:val="0"/>
          <w:i w:val="0"/>
          <w:color w:val="1F2937"/>
          <w:sz w:val="19"/>
        </w:rPr>
        <w:t>. Test adjusting your retirement age forward by 1–2 years, increasing annual savings, or trimming non-essential expenses until your success rate reaches at least 80%.</w:t>
      </w:r>
    </w:p>
    <w:p>
      <w:pPr>
        <w:keepNext/>
        <w:spacing w:before="240" w:after="80"/>
      </w:pPr>
      <w:r>
        <w:rPr>
          <w:rFonts w:ascii="Segoe UI" w:hAnsi="Segoe UI"/>
          <w:b/>
          <w:i w:val="0"/>
          <w:color w:val="0F172A"/>
          <w:sz w:val="25"/>
        </w:rPr>
        <w:t>2. Moderate Shortfall Notice</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Your success rate is between 70% and 84%.</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"Monte Carlo success is X%. A small boost to savings could push this above 85%."</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Increasing your monthly savings by just a few hundred dollars or modeling dynamic retirement spending guardrails can provide the margin of safety needed to reach high confidence.</w:t>
      </w:r>
    </w:p>
    <w:p>
      <w:pPr>
        <w:keepNext/>
        <w:spacing w:before="240" w:after="80"/>
      </w:pPr>
      <w:r>
        <w:rPr>
          <w:rFonts w:ascii="Segoe UI" w:hAnsi="Segoe UI"/>
          <w:b/>
          <w:i w:val="0"/>
          <w:color w:val="0F172A"/>
          <w:sz w:val="25"/>
        </w:rPr>
        <w:t>3. Low Savings Rate Alert</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 are saving less than 10% of your gross employment income.</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"You're saving X% of income. Target 15–20% for a secure retirement."</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xml:space="preserve">: Go to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Accounts</w:t>
      </w:r>
      <w:r>
        <w:rPr>
          <w:rFonts w:ascii="Segoe UI" w:hAnsi="Segoe UI"/>
          <w:b w:val="0"/>
          <w:i w:val="0"/>
          <w:color w:val="1F2937"/>
          <w:sz w:val="19"/>
        </w:rPr>
        <w:t>. Increase your automated contributions across your 401(k), IRA, or HSA to reach at least 15%.</w:t>
      </w:r>
    </w:p>
    <w:p>
      <w:pPr>
        <w:keepNext/>
        <w:spacing w:before="240" w:after="80"/>
      </w:pPr>
      <w:r>
        <w:rPr>
          <w:rFonts w:ascii="Segoe UI" w:hAnsi="Segoe UI"/>
          <w:b/>
          <w:i w:val="0"/>
          <w:color w:val="0F172A"/>
          <w:sz w:val="25"/>
        </w:rPr>
        <w:t>4. High-Interest Debt Warning</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 have one or more loans or credit cards with an interest rate above 7.0%.</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"$X in debt above 7% interest is costing you returns. Consider paying it down before investing."</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High-interest debt creates a guaranteed negative return. Redirect non-matched investment dollars toward paying off your highest-interest liabilities first (the debt avalanche strategy).</w:t>
      </w:r>
    </w:p>
    <w:p>
      <w:pPr>
        <w:keepNext/>
        <w:spacing w:before="240" w:after="80"/>
      </w:pPr>
      <w:r>
        <w:rPr>
          <w:rFonts w:ascii="Segoe UI" w:hAnsi="Segoe UI"/>
          <w:b/>
          <w:i w:val="0"/>
          <w:color w:val="0F172A"/>
          <w:sz w:val="25"/>
        </w:rPr>
        <w:t>5. Early Social Security Penalty Alert</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A Social Security benefit is scheduled to start before age 67.</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"Claiming Social Security before 67 permanently reduces your benefit. Delaying to 70 increases it by ~24% vs claiming at 67."</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xml:space="preserve">: Open the </w:t>
      </w:r>
      <w:r>
        <w:rPr>
          <w:rFonts w:ascii="Segoe UI" w:hAnsi="Segoe UI"/>
          <w:b/>
          <w:i w:val="0"/>
          <w:color w:val="1F2937"/>
          <w:sz w:val="19"/>
        </w:rPr>
        <w:t>Social Security Explorer</w:t>
      </w:r>
      <w:r>
        <w:rPr>
          <w:rFonts w:ascii="Segoe UI" w:hAnsi="Segoe UI"/>
          <w:b w:val="0"/>
          <w:i w:val="0"/>
          <w:color w:val="1F2937"/>
          <w:sz w:val="19"/>
        </w:rPr>
        <w:t>. Review the break-even age curve and evaluate bridging early retirement years using investment withdrawals to allow your guaranteed Social Security payout to grow.</w:t>
      </w:r>
    </w:p>
    <w:p>
      <w:pPr>
        <w:keepNext/>
        <w:spacing w:before="240" w:after="80"/>
      </w:pPr>
      <w:r>
        <w:rPr>
          <w:rFonts w:ascii="Segoe UI" w:hAnsi="Segoe UI"/>
          <w:b/>
          <w:i w:val="0"/>
          <w:color w:val="0F172A"/>
          <w:sz w:val="25"/>
        </w:rPr>
        <w:t>6. Deficient Emergency Cash Buffer</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Your cash account balances cover less than 3 months of living expenses.</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"You have X months of expenses in cash. Build to 3–6 months ($Y)."</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Increase cash allocations in checking or high-yield savings accounts to protect yourself from having to sell investments at a loss during an unexpected expense or market drop.</w:t>
      </w:r>
    </w:p>
    <w:p>
      <w:pPr>
        <w:keepNext/>
        <w:spacing w:before="240" w:after="80"/>
      </w:pPr>
      <w:r>
        <w:rPr>
          <w:rFonts w:ascii="Segoe UI" w:hAnsi="Segoe UI"/>
          <w:b/>
          <w:i w:val="0"/>
          <w:color w:val="0F172A"/>
          <w:sz w:val="25"/>
        </w:rPr>
        <w:t>7. Roth Conversion Tax Window</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 have significant pre-tax 401(k)/IRA balances, more than 5 years until retirement, and your taxable income is in a lower tax bracket.</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"You have $X in traditional accounts. Consider Roth conversions now to reduce future tax burden."</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xml:space="preserve">: Visit the </w:t>
      </w:r>
      <w:r>
        <w:rPr>
          <w:rFonts w:ascii="Segoe UI" w:hAnsi="Segoe UI"/>
          <w:b/>
          <w:i w:val="0"/>
          <w:color w:val="1F2937"/>
          <w:sz w:val="19"/>
        </w:rPr>
        <w:t>Roth Conversion Explorer</w:t>
      </w:r>
      <w:r>
        <w:rPr>
          <w:rFonts w:ascii="Segoe UI" w:hAnsi="Segoe UI"/>
          <w:b w:val="0"/>
          <w:i w:val="0"/>
          <w:color w:val="1F2937"/>
          <w:sz w:val="19"/>
        </w:rPr>
        <w:t>. Converting funds during lower-earning or early retirement gap years lets you pay taxes at lower rates today, eliminating heavy Required Minimum Distributions (RMDs) later in life.</w:t>
      </w:r>
    </w:p>
    <w:p>
      <w:pPr>
        <w:keepNext/>
        <w:spacing w:before="240" w:after="80"/>
      </w:pPr>
      <w:r>
        <w:rPr>
          <w:rFonts w:ascii="Segoe UI" w:hAnsi="Segoe UI"/>
          <w:b/>
          <w:i w:val="0"/>
          <w:color w:val="0F172A"/>
          <w:sz w:val="25"/>
        </w:rPr>
        <w:t>8. Approaching RMD Notice</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 are within 5 years of your statutory Required Minimum Distribution age (age 73 or 75 under SECURE Act 2.0).</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"You have $X in pre-tax accounts. In Y year(s), Required Minimum Distributions will force taxable withdrawals. Review Roth conversions now."</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Plan a systematic pre-tax withdrawal or Roth conversion ladder before mandatory RMDs push you into higher tax brackets and trigger Medicare surcharges.</w:t>
      </w:r>
    </w:p>
    <w:p>
      <w:pPr>
        <w:keepNext/>
        <w:spacing w:before="240" w:after="80"/>
      </w:pPr>
      <w:r>
        <w:rPr>
          <w:rFonts w:ascii="Segoe UI" w:hAnsi="Segoe UI"/>
          <w:b/>
          <w:i w:val="0"/>
          <w:color w:val="0F172A"/>
          <w:sz w:val="25"/>
        </w:rPr>
        <w:t>9. Medicare IRMAA Surcharge Warning</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Your projected income exceeds Medicare Income-Related Monthly Adjustment Amount (IRMAA) surcharge thresholds.</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"Your income may trigger IRMAA Medicare surcharges (~$X/year). Roth conversions and withdrawals from Roth accounts can help stay below the threshold."</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Structure your retirement cash flow using non-taxable Roth withdrawals and HSA distributions to keep your Modified Adjusted Gross Income below IRMAA tier cliffs.</w:t>
      </w:r>
    </w:p>
    <w:p>
      <w:pPr>
        <w:keepNext/>
        <w:spacing w:before="240" w:after="80"/>
      </w:pPr>
      <w:r>
        <w:rPr>
          <w:rFonts w:ascii="Segoe UI" w:hAnsi="Segoe UI"/>
          <w:b/>
          <w:i w:val="0"/>
          <w:color w:val="0F172A"/>
          <w:sz w:val="25"/>
        </w:rPr>
        <w:t>10. Low Tax Diversification Notice</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 have pre-tax retirement accounts, zero Roth balances, and are under age 55.</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"Adding Roth contributions or conversions gives you tax-free income in retirement, which helps manage taxes and IRMAA."</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Open a Roth IRA or designate a portion of your ongoing 401(k) contributions as Roth to build tax-free flexibility for retirement.</w:t>
      </w:r>
    </w:p>
    <w:p>
      <w:pPr>
        <w:keepNext/>
        <w:spacing w:before="240" w:after="80"/>
      </w:pPr>
      <w:r>
        <w:rPr>
          <w:rFonts w:ascii="Segoe UI" w:hAnsi="Segoe UI"/>
          <w:b/>
          <w:i w:val="0"/>
          <w:color w:val="0F172A"/>
          <w:sz w:val="25"/>
        </w:rPr>
        <w:t>Positive Milestone: Retirement Wealth on Track</w:t>
      </w:r>
    </w:p>
    <w:p>
      <w:pPr>
        <w:pStyle w:val="ListBullet"/>
        <w:spacing w:before="20" w:after="40"/>
      </w:pPr>
      <w:r>
        <w:rPr>
          <w:rFonts w:ascii="Segoe UI" w:hAnsi="Segoe UI"/>
          <w:b/>
          <w:i w:val="0"/>
          <w:color w:val="1F2937"/>
          <w:sz w:val="19"/>
        </w:rPr>
        <w:t>Trigger</w:t>
      </w:r>
      <w:r>
        <w:rPr>
          <w:rFonts w:ascii="Segoe UI" w:hAnsi="Segoe UI"/>
          <w:b w:val="0"/>
          <w:i w:val="0"/>
          <w:color w:val="1F2937"/>
          <w:sz w:val="19"/>
        </w:rPr>
        <w:t>: Your projected investments meet or exceed 25 times your annual living expenses, and your Monte Carlo success rate is 85% or higher.</w:t>
      </w:r>
    </w:p>
    <w:p>
      <w:pPr>
        <w:pStyle w:val="ListBullet"/>
        <w:spacing w:before="20" w:after="40"/>
      </w:pPr>
      <w:r>
        <w:rPr>
          <w:rFonts w:ascii="Segoe UI" w:hAnsi="Segoe UI"/>
          <w:b/>
          <w:i w:val="0"/>
          <w:color w:val="1F2937"/>
          <w:sz w:val="19"/>
        </w:rPr>
        <w:t>Coach Message</w:t>
      </w:r>
      <w:r>
        <w:rPr>
          <w:rFonts w:ascii="Segoe UI" w:hAnsi="Segoe UI"/>
          <w:b w:val="0"/>
          <w:i w:val="0"/>
          <w:color w:val="1F2937"/>
          <w:sz w:val="19"/>
        </w:rPr>
        <w:t xml:space="preserve">: </w:t>
      </w:r>
      <w:r>
        <w:rPr>
          <w:rFonts w:ascii="Segoe UI" w:hAnsi="Segoe UI"/>
          <w:b w:val="0"/>
          <w:i/>
          <w:color w:val="1F2937"/>
          <w:sz w:val="19"/>
        </w:rPr>
        <w:t>"Based on 7% growth, you could reach ~$X by retirement, vs a 25× target of $Y."</w:t>
      </w:r>
    </w:p>
    <w:p>
      <w:pPr>
        <w:pStyle w:val="ListBullet"/>
        <w:spacing w:before="20" w:after="40"/>
      </w:pPr>
      <w:r>
        <w:rPr>
          <w:rFonts w:ascii="Segoe UI" w:hAnsi="Segoe UI"/>
          <w:b/>
          <w:i w:val="0"/>
          <w:color w:val="1F2937"/>
          <w:sz w:val="19"/>
        </w:rPr>
        <w:t>Action Step</w:t>
      </w:r>
      <w:r>
        <w:rPr>
          <w:rFonts w:ascii="Segoe UI" w:hAnsi="Segoe UI"/>
          <w:b w:val="0"/>
          <w:i w:val="0"/>
          <w:color w:val="1F2937"/>
          <w:sz w:val="19"/>
        </w:rPr>
        <w:t>: Celebrate your progress! Your plan is in peak health. Continue your disciplined contributions and annual reviews.</w:t>
      </w:r>
    </w:p>
    <w:p>
      <w:r>
        <w:br w:type="page"/>
      </w:r>
    </w:p>
    <w:p>
      <w:pPr>
        <w:keepNext/>
        <w:spacing w:before="440" w:after="160"/>
      </w:pPr>
      <w:r>
        <w:rPr>
          <w:rFonts w:ascii="Segoe UI" w:hAnsi="Segoe UI"/>
          <w:b/>
          <w:i w:val="0"/>
          <w:color w:val="1E3A8A"/>
          <w:sz w:val="40"/>
        </w:rPr>
        <w:t>CHAPTER 6: Plan Profile &amp; Household Setup</w:t>
      </w:r>
    </w:p>
    <w:p>
      <w:pPr>
        <w:keepNext/>
        <w:spacing w:before="320" w:after="120"/>
      </w:pPr>
      <w:r>
        <w:rPr>
          <w:rFonts w:ascii="Segoe UI" w:hAnsi="Segoe UI"/>
          <w:b/>
          <w:i w:val="0"/>
          <w:color w:val="2563EB"/>
          <w:sz w:val="30"/>
        </w:rPr>
        <w:t>6.1 Purpose</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Profile</w:t>
      </w:r>
      <w:r>
        <w:rPr>
          <w:rFonts w:ascii="Segoe UI" w:hAnsi="Segoe UI"/>
          <w:b w:val="0"/>
          <w:i w:val="0"/>
          <w:color w:val="1F2937"/>
          <w:sz w:val="19"/>
        </w:rPr>
        <w:t xml:space="preserve"> establishes the foundational demographic parameters of your household. It anchors your timeline, determines your retirement milestone year, sets your tax filing status, and establishes the longevity horizon of your financial model.</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6.2 Primary Member Information</w:t>
      </w:r>
    </w:p>
    <w:p>
      <w:pPr>
        <w:pStyle w:val="ListBullet"/>
        <w:spacing w:before="20" w:after="40"/>
      </w:pPr>
      <w:r>
        <w:rPr>
          <w:rFonts w:ascii="Segoe UI" w:hAnsi="Segoe UI"/>
          <w:b/>
          <w:i w:val="0"/>
          <w:color w:val="1F2937"/>
          <w:sz w:val="19"/>
        </w:rPr>
        <w:t>Name</w:t>
      </w:r>
      <w:r>
        <w:rPr>
          <w:rFonts w:ascii="Segoe UI" w:hAnsi="Segoe UI"/>
          <w:b w:val="0"/>
          <w:i w:val="0"/>
          <w:color w:val="1F2937"/>
          <w:sz w:val="19"/>
        </w:rPr>
        <w:t>: Your legal or preferred first name.</w:t>
      </w:r>
    </w:p>
    <w:p>
      <w:pPr>
        <w:pStyle w:val="ListBullet"/>
        <w:spacing w:before="20" w:after="40"/>
      </w:pPr>
      <w:r>
        <w:rPr>
          <w:rFonts w:ascii="Segoe UI" w:hAnsi="Segoe UI"/>
          <w:b/>
          <w:i w:val="0"/>
          <w:color w:val="1F2937"/>
          <w:sz w:val="19"/>
        </w:rPr>
        <w:t>Birth Year</w:t>
      </w:r>
      <w:r>
        <w:rPr>
          <w:rFonts w:ascii="Segoe UI" w:hAnsi="Segoe UI"/>
          <w:b w:val="0"/>
          <w:i w:val="0"/>
          <w:color w:val="1F2937"/>
          <w:sz w:val="19"/>
        </w:rPr>
        <w:t>: Enter your 4-digit birth year (e.g., 1980). This accurately calculates your age across every year of your plan, determines your Social Security Full Retirement Age (65–67), and identifies your statutory Required Minimum Distribution (RMD) start age (72, 73, or 75, depending on your birth year, under federal legislation).</w:t>
      </w:r>
    </w:p>
    <w:p>
      <w:pPr>
        <w:pStyle w:val="ListBullet"/>
        <w:spacing w:before="20" w:after="40"/>
      </w:pPr>
      <w:r>
        <w:rPr>
          <w:rFonts w:ascii="Segoe UI" w:hAnsi="Segoe UI"/>
          <w:b/>
          <w:i w:val="0"/>
          <w:color w:val="1F2937"/>
          <w:sz w:val="19"/>
        </w:rPr>
        <w:t>Target Retirement Age</w:t>
      </w:r>
      <w:r>
        <w:rPr>
          <w:rFonts w:ascii="Segoe UI" w:hAnsi="Segoe UI"/>
          <w:b w:val="0"/>
          <w:i w:val="0"/>
          <w:color w:val="1F2937"/>
          <w:sz w:val="19"/>
        </w:rPr>
        <w:t>: The age at which you plan to stop working and cease earned employment income.</w:t>
      </w:r>
    </w:p>
    <w:p>
      <w:pPr>
        <w:pStyle w:val="ListBullet"/>
        <w:spacing w:before="20" w:after="40"/>
      </w:pPr>
      <w:r>
        <w:rPr>
          <w:rFonts w:ascii="Segoe UI" w:hAnsi="Segoe UI"/>
          <w:b/>
          <w:i w:val="0"/>
          <w:color w:val="1F2937"/>
          <w:sz w:val="19"/>
        </w:rPr>
        <w:t>Life Expectancy</w:t>
      </w:r>
      <w:r>
        <w:rPr>
          <w:rFonts w:ascii="Segoe UI" w:hAnsi="Segoe UI"/>
          <w:b w:val="0"/>
          <w:i w:val="0"/>
          <w:color w:val="1F2937"/>
          <w:sz w:val="19"/>
        </w:rPr>
        <w:t>: The age to which your plan will run. Financial planners generally recommend planning conservatively to age 90 or 95 to protect against longevity risk.</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6.3 Adding a Spouse or Partner</w:t>
      </w:r>
    </w:p>
    <w:p>
      <w:pPr>
        <w:spacing w:before="40" w:after="80" w:line="276" w:lineRule="auto"/>
      </w:pPr>
      <w:r>
        <w:rPr>
          <w:rFonts w:ascii="Segoe UI" w:hAnsi="Segoe UI"/>
          <w:b w:val="0"/>
          <w:i w:val="0"/>
          <w:color w:val="1F2937"/>
          <w:sz w:val="19"/>
        </w:rPr>
        <w:t>Financho includes comprehensive joint modeling for couples:</w:t>
      </w:r>
    </w:p>
    <w:p>
      <w:pPr>
        <w:pStyle w:val="ListBullet"/>
        <w:spacing w:before="20" w:after="40"/>
      </w:pPr>
      <w:r>
        <w:rPr>
          <w:rFonts w:ascii="Segoe UI" w:hAnsi="Segoe UI"/>
          <w:b/>
          <w:i w:val="0"/>
          <w:color w:val="1F2937"/>
          <w:sz w:val="19"/>
        </w:rPr>
        <w:t>Adding a Partner</w:t>
      </w:r>
      <w:r>
        <w:rPr>
          <w:rFonts w:ascii="Segoe UI" w:hAnsi="Segoe UI"/>
          <w:b w:val="0"/>
          <w:i w:val="0"/>
          <w:color w:val="1F2937"/>
          <w:sz w:val="19"/>
        </w:rPr>
        <w:t xml:space="preserve">: Click </w:t>
      </w:r>
      <w:r>
        <w:rPr>
          <w:rFonts w:ascii="Segoe UI" w:hAnsi="Segoe UI"/>
          <w:b/>
          <w:i w:val="0"/>
          <w:color w:val="1F2937"/>
          <w:sz w:val="19"/>
        </w:rPr>
        <w:t>Add spouse / partner</w:t>
      </w:r>
      <w:r>
        <w:rPr>
          <w:rFonts w:ascii="Segoe UI" w:hAnsi="Segoe UI"/>
          <w:b w:val="0"/>
          <w:i w:val="0"/>
          <w:color w:val="1F2937"/>
          <w:sz w:val="19"/>
        </w:rPr>
        <w:t>. Enter your spouse's name, birth year, planned retirement age, and life expectancy.</w:t>
      </w:r>
    </w:p>
    <w:p>
      <w:pPr>
        <w:pStyle w:val="ListBullet"/>
        <w:spacing w:before="20" w:after="40"/>
      </w:pPr>
      <w:r>
        <w:rPr>
          <w:rFonts w:ascii="Segoe UI" w:hAnsi="Segoe UI"/>
          <w:b/>
          <w:i w:val="0"/>
          <w:color w:val="1F2937"/>
          <w:sz w:val="19"/>
        </w:rPr>
        <w:t>Married Filing Jointly (MFJ)</w:t>
      </w:r>
      <w:r>
        <w:rPr>
          <w:rFonts w:ascii="Segoe UI" w:hAnsi="Segoe UI"/>
          <w:b w:val="0"/>
          <w:i w:val="0"/>
          <w:color w:val="1F2937"/>
          <w:sz w:val="19"/>
        </w:rPr>
        <w:t>: Adding a spouse immediately switches your tax engine to Married Filing Jointly, automatically doubling federal standard deductions and widening ordinary income and capital gains tax brackets.</w:t>
      </w:r>
    </w:p>
    <w:p>
      <w:pPr>
        <w:pStyle w:val="ListBullet"/>
        <w:spacing w:before="20" w:after="40"/>
      </w:pPr>
      <w:r>
        <w:rPr>
          <w:rFonts w:ascii="Segoe UI" w:hAnsi="Segoe UI"/>
          <w:b/>
          <w:i w:val="0"/>
          <w:color w:val="1F2937"/>
          <w:sz w:val="19"/>
        </w:rPr>
        <w:t>Independent Retirement Ages</w:t>
      </w:r>
      <w:r>
        <w:rPr>
          <w:rFonts w:ascii="Segoe UI" w:hAnsi="Segoe UI"/>
          <w:b w:val="0"/>
          <w:i w:val="0"/>
          <w:color w:val="1F2937"/>
          <w:sz w:val="19"/>
        </w:rPr>
        <w:t>: You and your partner can retire at completely different ages. Financho models each partner's wage cessation, individual 401(k) contributions, and Social Security start dates independently.</w:t>
      </w:r>
    </w:p>
    <w:p>
      <w:pPr>
        <w:pStyle w:val="ListBullet"/>
        <w:spacing w:before="20" w:after="40"/>
      </w:pPr>
      <w:r>
        <w:rPr>
          <w:rFonts w:ascii="Segoe UI" w:hAnsi="Segoe UI"/>
          <w:b/>
          <w:i w:val="0"/>
          <w:color w:val="1F2937"/>
          <w:sz w:val="19"/>
        </w:rPr>
        <w:t>Extended Plan Horizon</w:t>
      </w:r>
      <w:r>
        <w:rPr>
          <w:rFonts w:ascii="Segoe UI" w:hAnsi="Segoe UI"/>
          <w:b w:val="0"/>
          <w:i w:val="0"/>
          <w:color w:val="1F2937"/>
          <w:sz w:val="19"/>
        </w:rPr>
        <w:t>: The projection automatically runs until the death of whichever partner lives longer, based on each partner's own life expectancy.</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6.4 The Survivor Transition (The "Widow's Tax Trap")</w:t>
      </w:r>
    </w:p>
    <w:p>
      <w:pPr>
        <w:spacing w:before="40" w:after="80" w:line="276" w:lineRule="auto"/>
      </w:pPr>
      <w:r>
        <w:rPr>
          <w:rFonts w:ascii="Segoe UI" w:hAnsi="Segoe UI"/>
          <w:b w:val="0"/>
          <w:i w:val="0"/>
          <w:color w:val="1F2937"/>
          <w:sz w:val="19"/>
        </w:rPr>
        <w:t>One of the most overlooked risks in retirement planning is the death of the first spouse:</w:t>
      </w:r>
    </w:p>
    <w:p>
      <w:pPr>
        <w:pStyle w:val="ListNumber"/>
        <w:spacing w:before="20" w:after="40"/>
      </w:pPr>
      <w:r>
        <w:rPr>
          <w:rFonts w:ascii="Segoe UI" w:hAnsi="Segoe UI"/>
          <w:b/>
          <w:i w:val="0"/>
          <w:color w:val="1F2937"/>
          <w:sz w:val="19"/>
        </w:rPr>
        <w:t>Tax Bracket Shift</w:t>
      </w:r>
      <w:r>
        <w:rPr>
          <w:rFonts w:ascii="Segoe UI" w:hAnsi="Segoe UI"/>
          <w:b w:val="0"/>
          <w:i w:val="0"/>
          <w:color w:val="1F2937"/>
          <w:sz w:val="19"/>
        </w:rPr>
        <w:t xml:space="preserve">: When one spouse passes away, the surviving spouse automatically transitions to </w:t>
      </w:r>
      <w:r>
        <w:rPr>
          <w:rFonts w:ascii="Segoe UI" w:hAnsi="Segoe UI"/>
          <w:b/>
          <w:i w:val="0"/>
          <w:color w:val="1F2937"/>
          <w:sz w:val="19"/>
        </w:rPr>
        <w:t>Single</w:t>
      </w:r>
      <w:r>
        <w:rPr>
          <w:rFonts w:ascii="Segoe UI" w:hAnsi="Segoe UI"/>
          <w:b w:val="0"/>
          <w:i w:val="0"/>
          <w:color w:val="1F2937"/>
          <w:sz w:val="19"/>
        </w:rPr>
        <w:t xml:space="preserve"> tax filing status in subsequent years. Single tax brackets are half as wide, and the standard deduction is cut in half, which often pushes the surviving spouse into a higher tax bracket even on lower overall income.</w:t>
      </w:r>
    </w:p>
    <w:p>
      <w:pPr>
        <w:pStyle w:val="ListNumber"/>
        <w:spacing w:before="20" w:after="40"/>
      </w:pPr>
      <w:r>
        <w:rPr>
          <w:rFonts w:ascii="Segoe UI" w:hAnsi="Segoe UI"/>
          <w:b/>
          <w:i w:val="0"/>
          <w:color w:val="1F2937"/>
          <w:sz w:val="19"/>
        </w:rPr>
        <w:t>Social Security Survivor Protection</w:t>
      </w:r>
      <w:r>
        <w:rPr>
          <w:rFonts w:ascii="Segoe UI" w:hAnsi="Segoe UI"/>
          <w:b w:val="0"/>
          <w:i w:val="0"/>
          <w:color w:val="1F2937"/>
          <w:sz w:val="19"/>
        </w:rPr>
        <w:t>: Under federal law, the smaller of the household's two Social Security checks stops, and the survivor retains only the larger of the two checks going forward.</w:t>
      </w:r>
    </w:p>
    <w:p>
      <w:pPr>
        <w:pStyle w:val="ListNumber"/>
        <w:spacing w:before="20" w:after="40"/>
      </w:pPr>
      <w:r>
        <w:rPr>
          <w:rFonts w:ascii="Segoe UI" w:hAnsi="Segoe UI"/>
          <w:b/>
          <w:i w:val="0"/>
          <w:color w:val="1F2937"/>
          <w:sz w:val="19"/>
        </w:rPr>
        <w:t>Expense Adjustments</w:t>
      </w:r>
      <w:r>
        <w:rPr>
          <w:rFonts w:ascii="Segoe UI" w:hAnsi="Segoe UI"/>
          <w:b w:val="0"/>
          <w:i w:val="0"/>
          <w:color w:val="1F2937"/>
          <w:sz w:val="19"/>
        </w:rPr>
        <w:t>: Individual Medicare premiums and personal expenses decrease, giving you an accurate picture of survivor solvency.</w:t>
      </w:r>
    </w:p>
    <w:p>
      <w:r>
        <w:br w:type="page"/>
      </w:r>
    </w:p>
    <w:p>
      <w:pPr>
        <w:keepNext/>
        <w:spacing w:before="440" w:after="160"/>
      </w:pPr>
      <w:r>
        <w:rPr>
          <w:rFonts w:ascii="Segoe UI" w:hAnsi="Segoe UI"/>
          <w:b/>
          <w:i w:val="0"/>
          <w:color w:val="1E3A8A"/>
          <w:sz w:val="40"/>
        </w:rPr>
        <w:t>CHAPTER 7: Managing Accounts &amp; Capital Structure</w:t>
      </w:r>
    </w:p>
    <w:p>
      <w:pPr>
        <w:keepNext/>
        <w:spacing w:before="320" w:after="120"/>
      </w:pPr>
      <w:r>
        <w:rPr>
          <w:rFonts w:ascii="Segoe UI" w:hAnsi="Segoe UI"/>
          <w:b/>
          <w:i w:val="0"/>
          <w:color w:val="2563EB"/>
          <w:sz w:val="30"/>
        </w:rPr>
        <w:t>7.1 Overview</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Accounts</w:t>
      </w:r>
      <w:r>
        <w:rPr>
          <w:rFonts w:ascii="Segoe UI" w:hAnsi="Segoe UI"/>
          <w:b w:val="0"/>
          <w:i w:val="0"/>
          <w:color w:val="1F2937"/>
          <w:sz w:val="19"/>
        </w:rPr>
        <w:t xml:space="preserve"> screen holds all your household financial accounts. Financho tracks each account by its legal tax wrapper to apply correct tax treatment during growth and withdrawals.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7.2 Account Categories &amp; Rules</w:t>
      </w:r>
    </w:p>
    <w:tbl>
      <w:tblPr>
        <w:tblW w:type="auto" w:w="0"/>
        <w:jc w:val="center"/>
        <w:tblLook w:firstColumn="1" w:firstRow="1" w:lastColumn="0" w:lastRow="0" w:noHBand="0" w:noVBand="1" w:val="04A0"/>
      </w:tblPr>
      <w:tblGrid>
        <w:gridCol w:w="2340"/>
        <w:gridCol w:w="2340"/>
        <w:gridCol w:w="2340"/>
        <w:gridCol w:w="2340"/>
      </w:tblGrid>
      <w:tr>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Account Category</w:t>
            </w:r>
          </w:p>
        </w:tc>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Examples</w:t>
            </w:r>
          </w:p>
        </w:tc>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Tax Treatment During Accumulation</w:t>
            </w:r>
          </w:p>
        </w:tc>
        <w:tc>
          <w:tcPr>
            <w:tcW w:type="dxa" w:w="2340"/>
            <w:tcMar>
              <w:top w:w="60" w:type="dxa"/>
              <w:bottom w:w="60" w:type="dxa"/>
              <w:left w:w="80" w:type="dxa"/>
              <w:right w:w="80" w:type="dxa"/>
            </w:tcMar>
            <w:shd w:fill="1E3A8A"/>
          </w:tcPr>
          <w:p>
            <w:pPr>
              <w:spacing w:before="40" w:after="40"/>
            </w:pPr>
            <w:r>
              <w:rPr>
                <w:rFonts w:ascii="Segoe UI" w:hAnsi="Segoe UI"/>
                <w:b/>
                <w:i w:val="0"/>
                <w:color w:val="FFFFFF"/>
                <w:sz w:val="18"/>
              </w:rPr>
              <w:t>Tax Treatment in Retirement</w:t>
            </w:r>
          </w:p>
        </w:tc>
      </w:tr>
      <w:tr>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Cash / Bank</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Checking, Savings, Money Market, CDs</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Interest earned is taxed annually as ordinary income.</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Withdrawals are 100% tax-free and penalty-free.</w:t>
            </w:r>
          </w:p>
        </w:tc>
      </w:tr>
      <w:tr>
        <w:tc>
          <w:tcPr>
            <w:tcW w:type="dxa" w:w="2340"/>
            <w:tcMar>
              <w:top w:w="60" w:type="dxa"/>
              <w:bottom w:w="60" w:type="dxa"/>
              <w:left w:w="80" w:type="dxa"/>
              <w:right w:w="80" w:type="dxa"/>
            </w:tcMar>
            <w:shd w:fill="F8FAFC"/>
          </w:tcPr>
          <w:p>
            <w:pPr>
              <w:spacing w:before="40" w:after="40"/>
            </w:pPr>
            <w:r>
              <w:rPr>
                <w:rFonts w:ascii="Segoe UI" w:hAnsi="Segoe UI"/>
                <w:b/>
                <w:i w:val="0"/>
                <w:color w:val="1F2937"/>
                <w:sz w:val="17"/>
              </w:rPr>
              <w:t>Taxable Brokerage</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Vanguard, Fidelity, Schwab Individual/Joint</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Dividends taxed annually; capital gains taxed only when sold.</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Capital gains tax applies only to the growth above your cost basis; principal is returned tax-free.</w:t>
            </w:r>
          </w:p>
        </w:tc>
      </w:tr>
      <w:tr>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Pre-Tax Accounts</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Traditional 401(k), 403(b), 457(b), Traditional IRA</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Contributions are tax-deductible; balances grow tax-deferred.</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100% of every withdrawal is taxed as ordinary income; subject to mandatory RMDs.</w:t>
            </w:r>
          </w:p>
        </w:tc>
      </w:tr>
      <w:tr>
        <w:tc>
          <w:tcPr>
            <w:tcW w:type="dxa" w:w="2340"/>
            <w:tcMar>
              <w:top w:w="60" w:type="dxa"/>
              <w:bottom w:w="60" w:type="dxa"/>
              <w:left w:w="80" w:type="dxa"/>
              <w:right w:w="80" w:type="dxa"/>
            </w:tcMar>
            <w:shd w:fill="F8FAFC"/>
          </w:tcPr>
          <w:p>
            <w:pPr>
              <w:spacing w:before="40" w:after="40"/>
            </w:pPr>
            <w:r>
              <w:rPr>
                <w:rFonts w:ascii="Segoe UI" w:hAnsi="Segoe UI"/>
                <w:b/>
                <w:i w:val="0"/>
                <w:color w:val="1F2937"/>
                <w:sz w:val="17"/>
              </w:rPr>
              <w:t>Roth Accounts</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Roth IRA, Roth 401(k)</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Contributions made with after-tax dollars; growth is 100% tax-free.</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Qualified distributions are 100% tax-free; Roth IRAs have no lifetime RMDs.</w:t>
            </w:r>
          </w:p>
        </w:tc>
      </w:tr>
      <w:tr>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Health Savings Account (HSA)</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Employer HSA, Fidelity HSA</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Contributions are pre-tax and exempt from FICA; growth is tax-free.</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100% tax-free for qualified medical expenses; behaves like a traditional IRA after age 65.</w:t>
            </w:r>
          </w:p>
        </w:tc>
      </w:tr>
      <w:tr>
        <w:tc>
          <w:tcPr>
            <w:tcW w:type="dxa" w:w="2340"/>
            <w:tcMar>
              <w:top w:w="60" w:type="dxa"/>
              <w:bottom w:w="60" w:type="dxa"/>
              <w:left w:w="80" w:type="dxa"/>
              <w:right w:w="80" w:type="dxa"/>
            </w:tcMar>
            <w:shd w:fill="F8FAFC"/>
          </w:tcPr>
          <w:p>
            <w:pPr>
              <w:spacing w:before="40" w:after="40"/>
            </w:pPr>
            <w:r>
              <w:rPr>
                <w:rFonts w:ascii="Segoe UI" w:hAnsi="Segoe UI"/>
                <w:b/>
                <w:i w:val="0"/>
                <w:color w:val="1F2937"/>
                <w:sz w:val="17"/>
              </w:rPr>
              <w:t>529 College Savings</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State 529 Plans</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After-tax contributions qualify for state tax deductions in many states; growth is tax-free.</w:t>
            </w:r>
          </w:p>
        </w:tc>
        <w:tc>
          <w:tcPr>
            <w:tcW w:type="dxa" w:w="2340"/>
            <w:tcMar>
              <w:top w:w="60" w:type="dxa"/>
              <w:bottom w:w="60" w:type="dxa"/>
              <w:left w:w="80" w:type="dxa"/>
              <w:right w:w="80" w:type="dxa"/>
            </w:tcMar>
            <w:shd w:fill="F8FAFC"/>
          </w:tcPr>
          <w:p>
            <w:pPr>
              <w:spacing w:before="40" w:after="40"/>
            </w:pPr>
            <w:r>
              <w:rPr>
                <w:rFonts w:ascii="Segoe UI" w:hAnsi="Segoe UI"/>
                <w:b w:val="0"/>
                <w:i w:val="0"/>
                <w:color w:val="1F2937"/>
                <w:sz w:val="17"/>
              </w:rPr>
              <w:t>100% tax-free for qualified educational expenses.</w:t>
            </w:r>
          </w:p>
        </w:tc>
      </w:tr>
      <w:tr>
        <w:tc>
          <w:tcPr>
            <w:tcW w:type="dxa" w:w="2340"/>
            <w:tcMar>
              <w:top w:w="60" w:type="dxa"/>
              <w:bottom w:w="60" w:type="dxa"/>
              <w:left w:w="80" w:type="dxa"/>
              <w:right w:w="80" w:type="dxa"/>
            </w:tcMar>
            <w:shd w:fill="FFFFFF"/>
          </w:tcPr>
          <w:p>
            <w:pPr>
              <w:spacing w:before="40" w:after="40"/>
            </w:pPr>
            <w:r>
              <w:rPr>
                <w:rFonts w:ascii="Segoe UI" w:hAnsi="Segoe UI"/>
                <w:b/>
                <w:i w:val="0"/>
                <w:color w:val="1F2937"/>
                <w:sz w:val="17"/>
              </w:rPr>
              <w:t>Pensions &amp; Annuities</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Defined benefit pensions, fixed annuities</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Employer-funded or purchased contracts.</w:t>
            </w:r>
          </w:p>
        </w:tc>
        <w:tc>
          <w:tcPr>
            <w:tcW w:type="dxa" w:w="2340"/>
            <w:tcMar>
              <w:top w:w="60" w:type="dxa"/>
              <w:bottom w:w="60" w:type="dxa"/>
              <w:left w:w="80" w:type="dxa"/>
              <w:right w:w="80" w:type="dxa"/>
            </w:tcMar>
            <w:shd w:fill="FFFFFF"/>
          </w:tcPr>
          <w:p>
            <w:pPr>
              <w:spacing w:before="40" w:after="40"/>
            </w:pPr>
            <w:r>
              <w:rPr>
                <w:rFonts w:ascii="Segoe UI" w:hAnsi="Segoe UI"/>
                <w:b w:val="0"/>
                <w:i w:val="0"/>
                <w:color w:val="1F2937"/>
                <w:sz w:val="17"/>
              </w:rPr>
              <w:t>Distributed as monthly or annual guaranteed income.</w:t>
            </w:r>
          </w:p>
        </w:tc>
      </w:tr>
    </w:tbl>
    <w:p>
      <w:pPr>
        <w:spacing w:before="0" w:after="80"/>
      </w:pPr>
    </w:p>
    <w:p>
      <w:pPr>
        <w:spacing w:before="40" w:after="80" w:line="276" w:lineRule="auto"/>
      </w:pPr>
      <w:r>
        <w:rPr>
          <w:rFonts w:ascii="Segoe UI" w:hAnsi="Segoe UI"/>
          <w:b w:val="0"/>
          <w:i w:val="0"/>
          <w:color w:val="1F2937"/>
          <w:sz w:val="19"/>
        </w:rPr>
        <w:t xml:space="preserve">You can also select </w:t>
      </w:r>
      <w:r>
        <w:rPr>
          <w:rFonts w:ascii="Segoe UI" w:hAnsi="Segoe UI"/>
          <w:b/>
          <w:i w:val="0"/>
          <w:color w:val="1F2937"/>
          <w:sz w:val="19"/>
        </w:rPr>
        <w:t>Real Estate</w:t>
      </w:r>
      <w:r>
        <w:rPr>
          <w:rFonts w:ascii="Segoe UI" w:hAnsi="Segoe UI"/>
          <w:b w:val="0"/>
          <w:i w:val="0"/>
          <w:color w:val="1F2937"/>
          <w:sz w:val="19"/>
        </w:rPr>
        <w:t xml:space="preserve"> (covered in detail in Chapter 14) or </w:t>
      </w:r>
      <w:r>
        <w:rPr>
          <w:rFonts w:ascii="Segoe UI" w:hAnsi="Segoe UI"/>
          <w:b/>
          <w:i w:val="0"/>
          <w:color w:val="1F2937"/>
          <w:sz w:val="19"/>
        </w:rPr>
        <w:t>Other</w:t>
      </w:r>
      <w:r>
        <w:rPr>
          <w:rFonts w:ascii="Segoe UI" w:hAnsi="Segoe UI"/>
          <w:b w:val="0"/>
          <w:i w:val="0"/>
          <w:color w:val="1F2937"/>
          <w:sz w:val="19"/>
        </w:rPr>
        <w:t xml:space="preserve"> for anything that doesn't fit the categories above.</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7.3 Annual Contribution Limits (2026 Guidelines)</w:t>
      </w:r>
    </w:p>
    <w:p>
      <w:pPr>
        <w:spacing w:before="40" w:after="80" w:line="276" w:lineRule="auto"/>
      </w:pPr>
      <w:r>
        <w:rPr>
          <w:rFonts w:ascii="Segoe UI" w:hAnsi="Segoe UI"/>
          <w:b w:val="0"/>
          <w:i w:val="0"/>
          <w:color w:val="1F2937"/>
          <w:sz w:val="19"/>
        </w:rPr>
        <w:t>Financho monitors and enforces federal contribution caps:</w:t>
      </w:r>
    </w:p>
    <w:p>
      <w:pPr>
        <w:pStyle w:val="ListBullet"/>
        <w:spacing w:before="20" w:after="40"/>
      </w:pPr>
      <w:r>
        <w:rPr>
          <w:rFonts w:ascii="Segoe UI" w:hAnsi="Segoe UI"/>
          <w:b/>
          <w:i w:val="0"/>
          <w:color w:val="1F2937"/>
          <w:sz w:val="19"/>
        </w:rPr>
        <w:t>401(k) / 403(b) / 457</w:t>
      </w:r>
      <w:r>
        <w:rPr>
          <w:rFonts w:ascii="Segoe UI" w:hAnsi="Segoe UI"/>
          <w:b w:val="0"/>
          <w:i w:val="0"/>
          <w:color w:val="1F2937"/>
          <w:sz w:val="19"/>
        </w:rPr>
        <w:t xml:space="preserve">: Up to </w:t>
      </w:r>
      <w:r>
        <w:rPr>
          <w:rFonts w:ascii="Segoe UI" w:hAnsi="Segoe UI"/>
          <w:b/>
          <w:i w:val="0"/>
          <w:color w:val="1F2937"/>
          <w:sz w:val="19"/>
        </w:rPr>
        <w:t>$24,500/year</w:t>
      </w:r>
      <w:r>
        <w:rPr>
          <w:rFonts w:ascii="Segoe UI" w:hAnsi="Segoe UI"/>
          <w:b w:val="0"/>
          <w:i w:val="0"/>
          <w:color w:val="1F2937"/>
          <w:sz w:val="19"/>
        </w:rPr>
        <w:t xml:space="preserve"> per working individual.</w:t>
      </w:r>
    </w:p>
    <w:p>
      <w:pPr>
        <w:pStyle w:val="ListBullet"/>
        <w:spacing w:before="20" w:after="40"/>
      </w:pPr>
      <w:r>
        <w:rPr>
          <w:rFonts w:ascii="Segoe UI" w:hAnsi="Segoe UI"/>
          <w:b/>
          <w:i w:val="0"/>
          <w:color w:val="1F2937"/>
          <w:sz w:val="19"/>
        </w:rPr>
        <w:t>Traditional IRA / Roth IRA</w:t>
      </w:r>
      <w:r>
        <w:rPr>
          <w:rFonts w:ascii="Segoe UI" w:hAnsi="Segoe UI"/>
          <w:b w:val="0"/>
          <w:i w:val="0"/>
          <w:color w:val="1F2937"/>
          <w:sz w:val="19"/>
        </w:rPr>
        <w:t xml:space="preserve">: Up to </w:t>
      </w:r>
      <w:r>
        <w:rPr>
          <w:rFonts w:ascii="Segoe UI" w:hAnsi="Segoe UI"/>
          <w:b/>
          <w:i w:val="0"/>
          <w:color w:val="1F2937"/>
          <w:sz w:val="19"/>
        </w:rPr>
        <w:t>$7,500/year</w:t>
      </w:r>
      <w:r>
        <w:rPr>
          <w:rFonts w:ascii="Segoe UI" w:hAnsi="Segoe UI"/>
          <w:b w:val="0"/>
          <w:i w:val="0"/>
          <w:color w:val="1F2937"/>
          <w:sz w:val="19"/>
        </w:rPr>
        <w:t xml:space="preserve"> per eligible individual.</w:t>
      </w:r>
    </w:p>
    <w:p>
      <w:pPr>
        <w:pStyle w:val="ListBullet"/>
        <w:spacing w:before="20" w:after="40"/>
      </w:pPr>
      <w:r>
        <w:rPr>
          <w:rFonts w:ascii="Segoe UI" w:hAnsi="Segoe UI"/>
          <w:b/>
          <w:i w:val="0"/>
          <w:color w:val="1F2937"/>
          <w:sz w:val="19"/>
        </w:rPr>
        <w:t>Health Savings Account (HSA)</w:t>
      </w:r>
      <w:r>
        <w:rPr>
          <w:rFonts w:ascii="Segoe UI" w:hAnsi="Segoe UI"/>
          <w:b w:val="0"/>
          <w:i w:val="0"/>
          <w:color w:val="1F2937"/>
          <w:sz w:val="19"/>
        </w:rPr>
        <w:t xml:space="preserve">: Up to </w:t>
      </w:r>
      <w:r>
        <w:rPr>
          <w:rFonts w:ascii="Segoe UI" w:hAnsi="Segoe UI"/>
          <w:b/>
          <w:i w:val="0"/>
          <w:color w:val="1F2937"/>
          <w:sz w:val="19"/>
        </w:rPr>
        <w:t>$4,400/year</w:t>
      </w:r>
      <w:r>
        <w:rPr>
          <w:rFonts w:ascii="Segoe UI" w:hAnsi="Segoe UI"/>
          <w:b w:val="0"/>
          <w:i w:val="0"/>
          <w:color w:val="1F2937"/>
          <w:sz w:val="19"/>
        </w:rPr>
        <w:t xml:space="preserve"> for individuals, or </w:t>
      </w:r>
      <w:r>
        <w:rPr>
          <w:rFonts w:ascii="Segoe UI" w:hAnsi="Segoe UI"/>
          <w:b/>
          <w:i w:val="0"/>
          <w:color w:val="1F2937"/>
          <w:sz w:val="19"/>
        </w:rPr>
        <w:t>$8,750/year</w:t>
      </w:r>
      <w:r>
        <w:rPr>
          <w:rFonts w:ascii="Segoe UI" w:hAnsi="Segoe UI"/>
          <w:b w:val="0"/>
          <w:i w:val="0"/>
          <w:color w:val="1F2937"/>
          <w:sz w:val="19"/>
        </w:rPr>
        <w:t xml:space="preserve"> for family coverage.</w:t>
      </w:r>
    </w:p>
    <w:p>
      <w:pPr>
        <w:pStyle w:val="ListBullet"/>
        <w:spacing w:before="20" w:after="40"/>
      </w:pPr>
      <w:r>
        <w:rPr>
          <w:rFonts w:ascii="Segoe UI" w:hAnsi="Segoe UI"/>
          <w:b/>
          <w:i w:val="0"/>
          <w:color w:val="1F2937"/>
          <w:sz w:val="19"/>
        </w:rPr>
        <w:t>Automatic Gating</w:t>
      </w:r>
      <w:r>
        <w:rPr>
          <w:rFonts w:ascii="Segoe UI" w:hAnsi="Segoe UI"/>
          <w:b w:val="0"/>
          <w:i w:val="0"/>
          <w:color w:val="1F2937"/>
          <w:sz w:val="19"/>
        </w:rPr>
        <w:t>: Contributions are allowed only during working years where earned income is present. Once you retire, contributions automatically stop.</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7.4 Cost Basis &amp; Tax Drag Explained</w:t>
      </w:r>
    </w:p>
    <w:p>
      <w:pPr>
        <w:spacing w:before="40" w:after="80" w:line="276" w:lineRule="auto"/>
      </w:pPr>
      <w:r>
        <w:rPr>
          <w:rFonts w:ascii="Segoe UI" w:hAnsi="Segoe UI"/>
          <w:b w:val="0"/>
          <w:i w:val="0"/>
          <w:color w:val="1F2937"/>
          <w:sz w:val="19"/>
        </w:rPr>
        <w:t xml:space="preserve">In a taxable investment account, you do not pay taxes on your total balance when withdrawing funds. You only pay capital gains tax on the </w:t>
      </w:r>
      <w:r>
        <w:rPr>
          <w:rFonts w:ascii="Segoe UI" w:hAnsi="Segoe UI"/>
          <w:b/>
          <w:i w:val="0"/>
          <w:color w:val="1F2937"/>
          <w:sz w:val="19"/>
        </w:rPr>
        <w:t>growth</w:t>
      </w:r>
      <w:r>
        <w:rPr>
          <w:rFonts w:ascii="Segoe UI" w:hAnsi="Segoe UI"/>
          <w:b w:val="0"/>
          <w:i w:val="0"/>
          <w:color w:val="1F2937"/>
          <w:sz w:val="19"/>
        </w:rPr>
        <w:t xml:space="preserve"> above what you originally put in (your </w:t>
      </w:r>
      <w:r>
        <w:rPr>
          <w:rFonts w:ascii="Segoe UI" w:hAnsi="Segoe UI"/>
          <w:b/>
          <w:i w:val="0"/>
          <w:color w:val="1F2937"/>
          <w:sz w:val="19"/>
        </w:rPr>
        <w:t>cost basis</w:t>
      </w:r>
      <w:r>
        <w:rPr>
          <w:rFonts w:ascii="Segoe UI" w:hAnsi="Segoe UI"/>
          <w:b w:val="0"/>
          <w:i w:val="0"/>
          <w:color w:val="1F2937"/>
          <w:sz w:val="19"/>
        </w:rPr>
        <w:t>):</w:t>
      </w:r>
    </w:p>
    <w:p>
      <w:pPr>
        <w:pStyle w:val="ListBullet"/>
        <w:spacing w:before="20" w:after="40"/>
      </w:pPr>
      <w:r>
        <w:rPr>
          <w:rFonts w:ascii="Segoe UI" w:hAnsi="Segoe UI"/>
          <w:b/>
          <w:i w:val="0"/>
          <w:color w:val="1F2937"/>
          <w:sz w:val="19"/>
        </w:rPr>
        <w:t>Basis Tracking</w:t>
      </w:r>
      <w:r>
        <w:rPr>
          <w:rFonts w:ascii="Segoe UI" w:hAnsi="Segoe UI"/>
          <w:b w:val="0"/>
          <w:i w:val="0"/>
          <w:color w:val="1F2937"/>
          <w:sz w:val="19"/>
        </w:rPr>
        <w:t xml:space="preserve">: If an account has a balance of </w:t>
      </w:r>
      <w:r>
        <w:rPr>
          <w:rFonts w:ascii="Cambria Math" w:hAnsi="Cambria Math"/>
          <w:b w:val="0"/>
          <w:i/>
          <w:color w:val="4F46E5"/>
          <w:sz w:val="19"/>
        </w:rPr>
        <w:t xml:space="preserve">100,000 and a cost basis of </w:t>
      </w:r>
      <w:r>
        <w:rPr>
          <w:rFonts w:ascii="Segoe UI" w:hAnsi="Segoe UI"/>
          <w:b w:val="0"/>
          <w:i w:val="0"/>
          <w:color w:val="1F2937"/>
          <w:sz w:val="19"/>
        </w:rPr>
        <w:t>70,000, 70% of every withdrawal represents your original principal (tax-free), and only 30% is treated as capital gains.</w:t>
      </w:r>
    </w:p>
    <w:p>
      <w:pPr>
        <w:pStyle w:val="ListBullet"/>
        <w:spacing w:before="20" w:after="40"/>
      </w:pPr>
      <w:r>
        <w:rPr>
          <w:rFonts w:ascii="Segoe UI" w:hAnsi="Segoe UI"/>
          <w:b/>
          <w:i w:val="0"/>
          <w:color w:val="1F2937"/>
          <w:sz w:val="19"/>
        </w:rPr>
        <w:t>Annual Dividend Drag</w:t>
      </w:r>
      <w:r>
        <w:rPr>
          <w:rFonts w:ascii="Segoe UI" w:hAnsi="Segoe UI"/>
          <w:b w:val="0"/>
          <w:i w:val="0"/>
          <w:color w:val="1F2937"/>
          <w:sz w:val="19"/>
        </w:rPr>
        <w:t>: Taxable accounts generate a modest annual dividend yield (modeled at 2%), which is taxed at preferential long-term capital gains rates each year, automatically adjusting your cost basis upwards.</w:t>
      </w:r>
    </w:p>
    <w:p>
      <w:r>
        <w:br w:type="page"/>
      </w:r>
    </w:p>
    <w:p>
      <w:pPr>
        <w:keepNext/>
        <w:spacing w:before="440" w:after="160"/>
      </w:pPr>
      <w:r>
        <w:rPr>
          <w:rFonts w:ascii="Segoe UI" w:hAnsi="Segoe UI"/>
          <w:b/>
          <w:i w:val="0"/>
          <w:color w:val="1E3A8A"/>
          <w:sz w:val="40"/>
        </w:rPr>
        <w:t>CHAPTER 8: Portfolio Holdings &amp; Live Investment Tracking</w:t>
      </w:r>
    </w:p>
    <w:p>
      <w:pPr>
        <w:keepNext/>
        <w:spacing w:before="320" w:after="120"/>
      </w:pPr>
      <w:r>
        <w:rPr>
          <w:rFonts w:ascii="Segoe UI" w:hAnsi="Segoe UI"/>
          <w:b/>
          <w:i w:val="0"/>
          <w:color w:val="2563EB"/>
          <w:sz w:val="30"/>
        </w:rPr>
        <w:t>8.1 Overview</w:t>
      </w:r>
    </w:p>
    <w:p>
      <w:pPr>
        <w:spacing w:before="40" w:after="80" w:line="276" w:lineRule="auto"/>
      </w:pPr>
      <w:r>
        <w:rPr>
          <w:rFonts w:ascii="Segoe UI" w:hAnsi="Segoe UI"/>
          <w:b w:val="0"/>
          <w:i w:val="0"/>
          <w:color w:val="1F2937"/>
          <w:sz w:val="19"/>
        </w:rPr>
        <w:t xml:space="preserve">While the </w:t>
      </w:r>
      <w:r>
        <w:rPr>
          <w:rFonts w:ascii="Segoe UI" w:hAnsi="Segoe UI"/>
          <w:b/>
          <w:i w:val="0"/>
          <w:color w:val="1F2937"/>
          <w:sz w:val="19"/>
        </w:rPr>
        <w:t>Accounts</w:t>
      </w:r>
      <w:r>
        <w:rPr>
          <w:rFonts w:ascii="Segoe UI" w:hAnsi="Segoe UI"/>
          <w:b w:val="0"/>
          <w:i w:val="0"/>
          <w:color w:val="1F2937"/>
          <w:sz w:val="19"/>
        </w:rPr>
        <w:t xml:space="preserve"> screen manages high-level account balances, the </w:t>
      </w:r>
      <w:r>
        <w:rPr>
          <w:rFonts w:ascii="Segoe UI" w:hAnsi="Segoe UI"/>
          <w:b/>
          <w:i w:val="0"/>
          <w:color w:val="1F2937"/>
          <w:sz w:val="19"/>
        </w:rPr>
        <w:t>Portfolio</w:t>
      </w:r>
      <w:r>
        <w:rPr>
          <w:rFonts w:ascii="Segoe UI" w:hAnsi="Segoe UI"/>
          <w:b w:val="0"/>
          <w:i w:val="0"/>
          <w:color w:val="1F2937"/>
          <w:sz w:val="19"/>
        </w:rPr>
        <w:t xml:space="preserve"> page lets you track your specific stocks, ETFs, mutual funds, and bonds.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8.2 Live Market Quotes &amp; Automatic Account Syncing</w:t>
      </w:r>
    </w:p>
    <w:p>
      <w:pPr>
        <w:pStyle w:val="ListBullet"/>
        <w:spacing w:before="20" w:after="40"/>
      </w:pPr>
      <w:r>
        <w:rPr>
          <w:rFonts w:ascii="Segoe UI" w:hAnsi="Segoe UI"/>
          <w:b/>
          <w:i w:val="0"/>
          <w:color w:val="1F2937"/>
          <w:sz w:val="19"/>
        </w:rPr>
        <w:t>Adding a Holding</w:t>
      </w:r>
      <w:r>
        <w:rPr>
          <w:rFonts w:ascii="Segoe UI" w:hAnsi="Segoe UI"/>
          <w:b w:val="0"/>
          <w:i w:val="0"/>
          <w:color w:val="1F2937"/>
          <w:sz w:val="19"/>
        </w:rPr>
        <w:t xml:space="preserve">: Click </w:t>
      </w:r>
      <w:r>
        <w:rPr>
          <w:rFonts w:ascii="Segoe UI" w:hAnsi="Segoe UI"/>
          <w:b/>
          <w:i w:val="0"/>
          <w:color w:val="1F2937"/>
          <w:sz w:val="19"/>
        </w:rPr>
        <w:t>Add Holding</w:t>
      </w:r>
      <w:r>
        <w:rPr>
          <w:rFonts w:ascii="Segoe UI" w:hAnsi="Segoe UI"/>
          <w:b w:val="0"/>
          <w:i w:val="0"/>
          <w:color w:val="1F2937"/>
          <w:sz w:val="19"/>
        </w:rPr>
        <w:t xml:space="preserve">, type the ticker symbol (e.g., </w:t>
      </w:r>
      <w:r>
        <w:rPr>
          <w:rFonts w:ascii="Consolas" w:hAnsi="Consolas"/>
          <w:b w:val="0"/>
          <w:i w:val="0"/>
          <w:color w:val="2563EB"/>
          <w:sz w:val="18"/>
        </w:rPr>
        <w:t>VOO</w:t>
      </w:r>
      <w:r>
        <w:rPr>
          <w:rFonts w:ascii="Segoe UI" w:hAnsi="Segoe UI"/>
          <w:b w:val="0"/>
          <w:i w:val="0"/>
          <w:color w:val="1F2937"/>
          <w:sz w:val="19"/>
        </w:rPr>
        <w:t xml:space="preserve">, </w:t>
      </w:r>
      <w:r>
        <w:rPr>
          <w:rFonts w:ascii="Consolas" w:hAnsi="Consolas"/>
          <w:b w:val="0"/>
          <w:i w:val="0"/>
          <w:color w:val="2563EB"/>
          <w:sz w:val="18"/>
        </w:rPr>
        <w:t>VTI</w:t>
      </w:r>
      <w:r>
        <w:rPr>
          <w:rFonts w:ascii="Segoe UI" w:hAnsi="Segoe UI"/>
          <w:b w:val="0"/>
          <w:i w:val="0"/>
          <w:color w:val="1F2937"/>
          <w:sz w:val="19"/>
        </w:rPr>
        <w:t xml:space="preserve">, </w:t>
      </w:r>
      <w:r>
        <w:rPr>
          <w:rFonts w:ascii="Consolas" w:hAnsi="Consolas"/>
          <w:b w:val="0"/>
          <w:i w:val="0"/>
          <w:color w:val="2563EB"/>
          <w:sz w:val="18"/>
        </w:rPr>
        <w:t>BND</w:t>
      </w:r>
      <w:r>
        <w:rPr>
          <w:rFonts w:ascii="Segoe UI" w:hAnsi="Segoe UI"/>
          <w:b w:val="0"/>
          <w:i w:val="0"/>
          <w:color w:val="1F2937"/>
          <w:sz w:val="19"/>
        </w:rPr>
        <w:t xml:space="preserve">, </w:t>
      </w:r>
      <w:r>
        <w:rPr>
          <w:rFonts w:ascii="Consolas" w:hAnsi="Consolas"/>
          <w:b w:val="0"/>
          <w:i w:val="0"/>
          <w:color w:val="2563EB"/>
          <w:sz w:val="18"/>
        </w:rPr>
        <w:t>AAPL</w:t>
      </w:r>
      <w:r>
        <w:rPr>
          <w:rFonts w:ascii="Segoe UI" w:hAnsi="Segoe UI"/>
          <w:b w:val="0"/>
          <w:i w:val="0"/>
          <w:color w:val="1F2937"/>
          <w:sz w:val="19"/>
        </w:rPr>
        <w:t>), select the account it belongs to, enter your share count, and enter your average purchase price per share.</w:t>
      </w:r>
    </w:p>
    <w:p>
      <w:pPr>
        <w:pStyle w:val="ListBullet"/>
        <w:spacing w:before="20" w:after="40"/>
      </w:pPr>
      <w:r>
        <w:rPr>
          <w:rFonts w:ascii="Segoe UI" w:hAnsi="Segoe UI"/>
          <w:b/>
          <w:i w:val="0"/>
          <w:color w:val="1F2937"/>
          <w:sz w:val="19"/>
        </w:rPr>
        <w:t>Live Price Updates</w:t>
      </w:r>
      <w:r>
        <w:rPr>
          <w:rFonts w:ascii="Segoe UI" w:hAnsi="Segoe UI"/>
          <w:b w:val="0"/>
          <w:i w:val="0"/>
          <w:color w:val="1F2937"/>
          <w:sz w:val="19"/>
        </w:rPr>
        <w:t>: Financho automatically fetches live market quotes and trailing 12-month dividend yields for your holdings.</w:t>
      </w:r>
    </w:p>
    <w:p>
      <w:pPr>
        <w:pStyle w:val="ListBullet"/>
        <w:spacing w:before="20" w:after="40"/>
      </w:pPr>
      <w:r>
        <w:rPr>
          <w:rFonts w:ascii="Segoe UI" w:hAnsi="Segoe UI"/>
          <w:b/>
          <w:i w:val="0"/>
          <w:color w:val="1F2937"/>
          <w:sz w:val="19"/>
        </w:rPr>
        <w:t>Auto-Syncing Account Balances</w:t>
      </w:r>
      <w:r>
        <w:rPr>
          <w:rFonts w:ascii="Segoe UI" w:hAnsi="Segoe UI"/>
          <w:b w:val="0"/>
          <w:i w:val="0"/>
          <w:color w:val="1F2937"/>
          <w:sz w:val="19"/>
        </w:rPr>
        <w:t xml:space="preserve">: When you link holdings to an account, Financho automatically calculates that account's total balance by multiplying each holding's shares by its current price and adding them together. The account displays an </w:t>
      </w:r>
      <w:r>
        <w:rPr>
          <w:rFonts w:ascii="Segoe UI" w:hAnsi="Segoe UI"/>
          <w:b/>
          <w:i w:val="0"/>
          <w:color w:val="1F2937"/>
          <w:sz w:val="19"/>
        </w:rPr>
        <w:t>"Auto"</w:t>
      </w:r>
      <w:r>
        <w:rPr>
          <w:rFonts w:ascii="Segoe UI" w:hAnsi="Segoe UI"/>
          <w:b w:val="0"/>
          <w:i w:val="0"/>
          <w:color w:val="1F2937"/>
          <w:sz w:val="19"/>
        </w:rPr>
        <w:t xml:space="preserve"> badge, ensuring your balances stay updated with current market valuations.</w:t>
      </w:r>
    </w:p>
    <w:p>
      <w:pPr>
        <w:pStyle w:val="ListBullet"/>
        <w:spacing w:before="20" w:after="40"/>
      </w:pPr>
      <w:r>
        <w:rPr>
          <w:rFonts w:ascii="Segoe UI" w:hAnsi="Segoe UI"/>
          <w:b/>
          <w:i w:val="0"/>
          <w:color w:val="1F2937"/>
          <w:sz w:val="19"/>
        </w:rPr>
        <w:t>Refresh Prices</w:t>
      </w:r>
      <w:r>
        <w:rPr>
          <w:rFonts w:ascii="Segoe UI" w:hAnsi="Segoe UI"/>
          <w:b w:val="0"/>
          <w:i w:val="0"/>
          <w:color w:val="1F2937"/>
          <w:sz w:val="19"/>
        </w:rPr>
        <w:t xml:space="preserve">: Click the </w:t>
      </w:r>
      <w:r>
        <w:rPr>
          <w:rFonts w:ascii="Segoe UI" w:hAnsi="Segoe UI"/>
          <w:b/>
          <w:i w:val="0"/>
          <w:color w:val="1F2937"/>
          <w:sz w:val="19"/>
        </w:rPr>
        <w:t>Refresh Prices</w:t>
      </w:r>
      <w:r>
        <w:rPr>
          <w:rFonts w:ascii="Segoe UI" w:hAnsi="Segoe UI"/>
          <w:b w:val="0"/>
          <w:i w:val="0"/>
          <w:color w:val="1F2937"/>
          <w:sz w:val="19"/>
        </w:rPr>
        <w:t xml:space="preserve"> button at any time to pull the latest quotes. If quotes are more than 24 hours old, an indicator reminds you to refresh.</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8.3 Holding Information &amp; Metrics</w:t>
      </w:r>
    </w:p>
    <w:tbl>
      <w:tblPr>
        <w:tblW w:type="auto" w:w="0"/>
        <w:jc w:val="center"/>
        <w:tblLook w:firstColumn="1" w:firstRow="1" w:lastColumn="0" w:lastRow="0" w:noHBand="0" w:noVBand="1" w:val="04A0"/>
      </w:tblPr>
      <w:tblGrid>
        <w:gridCol w:w="4680"/>
        <w:gridCol w:w="4680"/>
      </w:tblGrid>
      <w:tr>
        <w:tc>
          <w:tcPr>
            <w:tcW w:type="dxa" w:w="4680"/>
            <w:tcMar>
              <w:top w:w="60" w:type="dxa"/>
              <w:bottom w:w="60" w:type="dxa"/>
              <w:left w:w="80" w:type="dxa"/>
              <w:right w:w="80" w:type="dxa"/>
            </w:tcMar>
            <w:shd w:fill="1E3A8A"/>
          </w:tcPr>
          <w:p>
            <w:pPr>
              <w:spacing w:before="40" w:after="40"/>
            </w:pPr>
            <w:r>
              <w:rPr>
                <w:rFonts w:ascii="Segoe UI" w:hAnsi="Segoe UI"/>
                <w:b/>
                <w:i w:val="0"/>
                <w:color w:val="FFFFFF"/>
                <w:sz w:val="18"/>
              </w:rPr>
              <w:t>Column</w:t>
            </w:r>
          </w:p>
        </w:tc>
        <w:tc>
          <w:tcPr>
            <w:tcW w:type="dxa" w:w="4680"/>
            <w:tcMar>
              <w:top w:w="60" w:type="dxa"/>
              <w:bottom w:w="60" w:type="dxa"/>
              <w:left w:w="80" w:type="dxa"/>
              <w:right w:w="80" w:type="dxa"/>
            </w:tcMar>
            <w:shd w:fill="1E3A8A"/>
          </w:tcPr>
          <w:p>
            <w:pPr>
              <w:spacing w:before="40" w:after="40"/>
            </w:pPr>
            <w:r>
              <w:rPr>
                <w:rFonts w:ascii="Segoe UI" w:hAnsi="Segoe UI"/>
                <w:b/>
                <w:i w:val="0"/>
                <w:color w:val="FFFFFF"/>
                <w:sz w:val="18"/>
              </w:rPr>
              <w:t>Description</w:t>
            </w:r>
          </w:p>
        </w:tc>
      </w:tr>
      <w:tr>
        <w:tc>
          <w:tcPr>
            <w:tcW w:type="dxa" w:w="4680"/>
            <w:tcMar>
              <w:top w:w="60" w:type="dxa"/>
              <w:bottom w:w="60" w:type="dxa"/>
              <w:left w:w="80" w:type="dxa"/>
              <w:right w:w="80" w:type="dxa"/>
            </w:tcMar>
            <w:shd w:fill="FFFFFF"/>
          </w:tcPr>
          <w:p>
            <w:pPr>
              <w:spacing w:before="40" w:after="40"/>
            </w:pPr>
            <w:r>
              <w:rPr>
                <w:rFonts w:ascii="Segoe UI" w:hAnsi="Segoe UI"/>
                <w:b/>
                <w:i w:val="0"/>
                <w:color w:val="1F2937"/>
                <w:sz w:val="17"/>
              </w:rPr>
              <w:t>Holding</w:t>
            </w:r>
          </w:p>
        </w:tc>
        <w:tc>
          <w:tcPr>
            <w:tcW w:type="dxa" w:w="4680"/>
            <w:tcMar>
              <w:top w:w="60" w:type="dxa"/>
              <w:bottom w:w="60" w:type="dxa"/>
              <w:left w:w="80" w:type="dxa"/>
              <w:right w:w="80" w:type="dxa"/>
            </w:tcMar>
            <w:shd w:fill="FFFFFF"/>
          </w:tcPr>
          <w:p>
            <w:pPr>
              <w:spacing w:before="40" w:after="40"/>
            </w:pPr>
            <w:r>
              <w:rPr>
                <w:rFonts w:ascii="Segoe UI" w:hAnsi="Segoe UI"/>
                <w:b w:val="0"/>
                <w:i w:val="0"/>
                <w:color w:val="1F2937"/>
                <w:sz w:val="17"/>
              </w:rPr>
              <w:t>The ticker symbol and full company or fund name.</w:t>
            </w:r>
          </w:p>
        </w:tc>
      </w:tr>
      <w:tr>
        <w:tc>
          <w:tcPr>
            <w:tcW w:type="dxa" w:w="4680"/>
            <w:tcMar>
              <w:top w:w="60" w:type="dxa"/>
              <w:bottom w:w="60" w:type="dxa"/>
              <w:left w:w="80" w:type="dxa"/>
              <w:right w:w="80" w:type="dxa"/>
            </w:tcMar>
            <w:shd w:fill="F8FAFC"/>
          </w:tcPr>
          <w:p>
            <w:pPr>
              <w:spacing w:before="40" w:after="40"/>
            </w:pPr>
            <w:r>
              <w:rPr>
                <w:rFonts w:ascii="Segoe UI" w:hAnsi="Segoe UI"/>
                <w:b/>
                <w:i w:val="0"/>
                <w:color w:val="1F2937"/>
                <w:sz w:val="17"/>
              </w:rPr>
              <w:t>Type</w:t>
            </w:r>
          </w:p>
        </w:tc>
        <w:tc>
          <w:tcPr>
            <w:tcW w:type="dxa" w:w="4680"/>
            <w:tcMar>
              <w:top w:w="60" w:type="dxa"/>
              <w:bottom w:w="60" w:type="dxa"/>
              <w:left w:w="80" w:type="dxa"/>
              <w:right w:w="80" w:type="dxa"/>
            </w:tcMar>
            <w:shd w:fill="F8FAFC"/>
          </w:tcPr>
          <w:p>
            <w:pPr>
              <w:spacing w:before="40" w:after="40"/>
            </w:pPr>
            <w:r>
              <w:rPr>
                <w:rFonts w:ascii="Segoe UI" w:hAnsi="Segoe UI"/>
                <w:b w:val="0"/>
                <w:i w:val="0"/>
                <w:color w:val="1F2937"/>
                <w:sz w:val="17"/>
              </w:rPr>
              <w:t>Asset class: Stock, ETF, Mutual Fund, Bond, or Other.</w:t>
            </w:r>
          </w:p>
        </w:tc>
      </w:tr>
      <w:tr>
        <w:tc>
          <w:tcPr>
            <w:tcW w:type="dxa" w:w="4680"/>
            <w:tcMar>
              <w:top w:w="60" w:type="dxa"/>
              <w:bottom w:w="60" w:type="dxa"/>
              <w:left w:w="80" w:type="dxa"/>
              <w:right w:w="80" w:type="dxa"/>
            </w:tcMar>
            <w:shd w:fill="FFFFFF"/>
          </w:tcPr>
          <w:p>
            <w:pPr>
              <w:spacing w:before="40" w:after="40"/>
            </w:pPr>
            <w:r>
              <w:rPr>
                <w:rFonts w:ascii="Segoe UI" w:hAnsi="Segoe UI"/>
                <w:b/>
                <w:i w:val="0"/>
                <w:color w:val="1F2937"/>
                <w:sz w:val="17"/>
              </w:rPr>
              <w:t>Account</w:t>
            </w:r>
          </w:p>
        </w:tc>
        <w:tc>
          <w:tcPr>
            <w:tcW w:type="dxa" w:w="4680"/>
            <w:tcMar>
              <w:top w:w="60" w:type="dxa"/>
              <w:bottom w:w="60" w:type="dxa"/>
              <w:left w:w="80" w:type="dxa"/>
              <w:right w:w="80" w:type="dxa"/>
            </w:tcMar>
            <w:shd w:fill="FFFFFF"/>
          </w:tcPr>
          <w:p>
            <w:pPr>
              <w:spacing w:before="40" w:after="40"/>
            </w:pPr>
            <w:r>
              <w:rPr>
                <w:rFonts w:ascii="Segoe UI" w:hAnsi="Segoe UI"/>
                <w:b w:val="0"/>
                <w:i w:val="0"/>
                <w:color w:val="1F2937"/>
                <w:sz w:val="17"/>
              </w:rPr>
              <w:t>The parent account where this investment is held.</w:t>
            </w:r>
          </w:p>
        </w:tc>
      </w:tr>
      <w:tr>
        <w:tc>
          <w:tcPr>
            <w:tcW w:type="dxa" w:w="4680"/>
            <w:tcMar>
              <w:top w:w="60" w:type="dxa"/>
              <w:bottom w:w="60" w:type="dxa"/>
              <w:left w:w="80" w:type="dxa"/>
              <w:right w:w="80" w:type="dxa"/>
            </w:tcMar>
            <w:shd w:fill="F8FAFC"/>
          </w:tcPr>
          <w:p>
            <w:pPr>
              <w:spacing w:before="40" w:after="40"/>
            </w:pPr>
            <w:r>
              <w:rPr>
                <w:rFonts w:ascii="Segoe UI" w:hAnsi="Segoe UI"/>
                <w:b/>
                <w:i w:val="0"/>
                <w:color w:val="1F2937"/>
                <w:sz w:val="17"/>
              </w:rPr>
              <w:t>Shares</w:t>
            </w:r>
          </w:p>
        </w:tc>
        <w:tc>
          <w:tcPr>
            <w:tcW w:type="dxa" w:w="4680"/>
            <w:tcMar>
              <w:top w:w="60" w:type="dxa"/>
              <w:bottom w:w="60" w:type="dxa"/>
              <w:left w:w="80" w:type="dxa"/>
              <w:right w:w="80" w:type="dxa"/>
            </w:tcMar>
            <w:shd w:fill="F8FAFC"/>
          </w:tcPr>
          <w:p>
            <w:pPr>
              <w:spacing w:before="40" w:after="40"/>
            </w:pPr>
            <w:r>
              <w:rPr>
                <w:rFonts w:ascii="Segoe UI" w:hAnsi="Segoe UI"/>
                <w:b w:val="0"/>
                <w:i w:val="0"/>
                <w:color w:val="1F2937"/>
                <w:sz w:val="17"/>
              </w:rPr>
              <w:t>The total number of whole or fractional shares owned.</w:t>
            </w:r>
          </w:p>
        </w:tc>
      </w:tr>
      <w:tr>
        <w:tc>
          <w:tcPr>
            <w:tcW w:type="dxa" w:w="4680"/>
            <w:tcMar>
              <w:top w:w="60" w:type="dxa"/>
              <w:bottom w:w="60" w:type="dxa"/>
              <w:left w:w="80" w:type="dxa"/>
              <w:right w:w="80" w:type="dxa"/>
            </w:tcMar>
            <w:shd w:fill="FFFFFF"/>
          </w:tcPr>
          <w:p>
            <w:pPr>
              <w:spacing w:before="40" w:after="40"/>
            </w:pPr>
            <w:r>
              <w:rPr>
                <w:rFonts w:ascii="Segoe UI" w:hAnsi="Segoe UI"/>
                <w:b/>
                <w:i w:val="0"/>
                <w:color w:val="1F2937"/>
                <w:sz w:val="17"/>
              </w:rPr>
              <w:t>Avg Cost</w:t>
            </w:r>
          </w:p>
        </w:tc>
        <w:tc>
          <w:tcPr>
            <w:tcW w:type="dxa" w:w="4680"/>
            <w:tcMar>
              <w:top w:w="60" w:type="dxa"/>
              <w:bottom w:w="60" w:type="dxa"/>
              <w:left w:w="80" w:type="dxa"/>
              <w:right w:w="80" w:type="dxa"/>
            </w:tcMar>
            <w:shd w:fill="FFFFFF"/>
          </w:tcPr>
          <w:p>
            <w:pPr>
              <w:spacing w:before="40" w:after="40"/>
            </w:pPr>
            <w:r>
              <w:rPr>
                <w:rFonts w:ascii="Segoe UI" w:hAnsi="Segoe UI"/>
                <w:b w:val="0"/>
                <w:i w:val="0"/>
                <w:color w:val="1F2937"/>
                <w:sz w:val="17"/>
              </w:rPr>
              <w:t>Your average purchase price per share (used to calculate capital gains).</w:t>
            </w:r>
          </w:p>
        </w:tc>
      </w:tr>
      <w:tr>
        <w:tc>
          <w:tcPr>
            <w:tcW w:type="dxa" w:w="4680"/>
            <w:tcMar>
              <w:top w:w="60" w:type="dxa"/>
              <w:bottom w:w="60" w:type="dxa"/>
              <w:left w:w="80" w:type="dxa"/>
              <w:right w:w="80" w:type="dxa"/>
            </w:tcMar>
            <w:shd w:fill="F8FAFC"/>
          </w:tcPr>
          <w:p>
            <w:pPr>
              <w:spacing w:before="40" w:after="40"/>
            </w:pPr>
            <w:r>
              <w:rPr>
                <w:rFonts w:ascii="Segoe UI" w:hAnsi="Segoe UI"/>
                <w:b/>
                <w:i w:val="0"/>
                <w:color w:val="1F2937"/>
                <w:sz w:val="17"/>
              </w:rPr>
              <w:t>Current Price</w:t>
            </w:r>
          </w:p>
        </w:tc>
        <w:tc>
          <w:tcPr>
            <w:tcW w:type="dxa" w:w="4680"/>
            <w:tcMar>
              <w:top w:w="60" w:type="dxa"/>
              <w:bottom w:w="60" w:type="dxa"/>
              <w:left w:w="80" w:type="dxa"/>
              <w:right w:w="80" w:type="dxa"/>
            </w:tcMar>
            <w:shd w:fill="F8FAFC"/>
          </w:tcPr>
          <w:p>
            <w:pPr>
              <w:spacing w:before="40" w:after="40"/>
            </w:pPr>
            <w:r>
              <w:rPr>
                <w:rFonts w:ascii="Segoe UI" w:hAnsi="Segoe UI"/>
                <w:b w:val="0"/>
                <w:i w:val="0"/>
                <w:color w:val="1F2937"/>
                <w:sz w:val="17"/>
              </w:rPr>
              <w:t>The latest live market price per share.</w:t>
            </w:r>
          </w:p>
        </w:tc>
      </w:tr>
      <w:tr>
        <w:tc>
          <w:tcPr>
            <w:tcW w:type="dxa" w:w="4680"/>
            <w:tcMar>
              <w:top w:w="60" w:type="dxa"/>
              <w:bottom w:w="60" w:type="dxa"/>
              <w:left w:w="80" w:type="dxa"/>
              <w:right w:w="80" w:type="dxa"/>
            </w:tcMar>
            <w:shd w:fill="FFFFFF"/>
          </w:tcPr>
          <w:p>
            <w:pPr>
              <w:spacing w:before="40" w:after="40"/>
            </w:pPr>
            <w:r>
              <w:rPr>
                <w:rFonts w:ascii="Segoe UI" w:hAnsi="Segoe UI"/>
                <w:b/>
                <w:i w:val="0"/>
                <w:color w:val="1F2937"/>
                <w:sz w:val="17"/>
              </w:rPr>
              <w:t>Market Value</w:t>
            </w:r>
          </w:p>
        </w:tc>
        <w:tc>
          <w:tcPr>
            <w:tcW w:type="dxa" w:w="4680"/>
            <w:tcMar>
              <w:top w:w="60" w:type="dxa"/>
              <w:bottom w:w="60" w:type="dxa"/>
              <w:left w:w="80" w:type="dxa"/>
              <w:right w:w="80" w:type="dxa"/>
            </w:tcMar>
            <w:shd w:fill="FFFFFF"/>
          </w:tcPr>
          <w:p>
            <w:pPr>
              <w:spacing w:before="40" w:after="40"/>
            </w:pPr>
            <w:r>
              <w:rPr>
                <w:rFonts w:ascii="Segoe UI" w:hAnsi="Segoe UI"/>
                <w:b w:val="0"/>
                <w:i w:val="0"/>
                <w:color w:val="1F2937"/>
                <w:sz w:val="17"/>
              </w:rPr>
              <w:t xml:space="preserve">Total position value (Shares </w:t>
            </w:r>
            <w:r>
              <w:rPr>
                <w:rFonts w:ascii="Cambria Math" w:hAnsi="Cambria Math"/>
                <w:b w:val="0"/>
                <w:i/>
                <w:color w:val="4F46E5"/>
                <w:sz w:val="17"/>
              </w:rPr>
              <w:t>\times</w:t>
            </w:r>
            <w:r>
              <w:rPr>
                <w:rFonts w:ascii="Segoe UI" w:hAnsi="Segoe UI"/>
                <w:b w:val="0"/>
                <w:i w:val="0"/>
                <w:color w:val="1F2937"/>
                <w:sz w:val="17"/>
              </w:rPr>
              <w:t xml:space="preserve"> Current Price).</w:t>
            </w:r>
          </w:p>
        </w:tc>
      </w:tr>
      <w:tr>
        <w:tc>
          <w:tcPr>
            <w:tcW w:type="dxa" w:w="4680"/>
            <w:tcMar>
              <w:top w:w="60" w:type="dxa"/>
              <w:bottom w:w="60" w:type="dxa"/>
              <w:left w:w="80" w:type="dxa"/>
              <w:right w:w="80" w:type="dxa"/>
            </w:tcMar>
            <w:shd w:fill="F8FAFC"/>
          </w:tcPr>
          <w:p>
            <w:pPr>
              <w:spacing w:before="40" w:after="40"/>
            </w:pPr>
            <w:r>
              <w:rPr>
                <w:rFonts w:ascii="Segoe UI" w:hAnsi="Segoe UI"/>
                <w:b/>
                <w:i w:val="0"/>
                <w:color w:val="1F2937"/>
                <w:sz w:val="17"/>
              </w:rPr>
              <w:t>Gain / Loss</w:t>
            </w:r>
          </w:p>
        </w:tc>
        <w:tc>
          <w:tcPr>
            <w:tcW w:type="dxa" w:w="4680"/>
            <w:tcMar>
              <w:top w:w="60" w:type="dxa"/>
              <w:bottom w:w="60" w:type="dxa"/>
              <w:left w:w="80" w:type="dxa"/>
              <w:right w:w="80" w:type="dxa"/>
            </w:tcMar>
            <w:shd w:fill="F8FAFC"/>
          </w:tcPr>
          <w:p>
            <w:pPr>
              <w:spacing w:before="40" w:after="40"/>
            </w:pPr>
            <w:r>
              <w:rPr>
                <w:rFonts w:ascii="Segoe UI" w:hAnsi="Segoe UI"/>
                <w:b w:val="0"/>
                <w:i w:val="0"/>
                <w:color w:val="1F2937"/>
                <w:sz w:val="17"/>
              </w:rPr>
              <w:t>Your unrealized profit or loss in dollars and percentage.</w:t>
            </w:r>
          </w:p>
        </w:tc>
      </w:tr>
      <w:tr>
        <w:tc>
          <w:tcPr>
            <w:tcW w:type="dxa" w:w="4680"/>
            <w:tcMar>
              <w:top w:w="60" w:type="dxa"/>
              <w:bottom w:w="60" w:type="dxa"/>
              <w:left w:w="80" w:type="dxa"/>
              <w:right w:w="80" w:type="dxa"/>
            </w:tcMar>
            <w:shd w:fill="FFFFFF"/>
          </w:tcPr>
          <w:p>
            <w:pPr>
              <w:spacing w:before="40" w:after="40"/>
            </w:pPr>
            <w:r>
              <w:rPr>
                <w:rFonts w:ascii="Segoe UI" w:hAnsi="Segoe UI"/>
                <w:b/>
                <w:i w:val="0"/>
                <w:color w:val="1F2937"/>
                <w:sz w:val="17"/>
              </w:rPr>
              <w:t>Annual Dividend</w:t>
            </w:r>
          </w:p>
        </w:tc>
        <w:tc>
          <w:tcPr>
            <w:tcW w:type="dxa" w:w="4680"/>
            <w:tcMar>
              <w:top w:w="60" w:type="dxa"/>
              <w:bottom w:w="60" w:type="dxa"/>
              <w:left w:w="80" w:type="dxa"/>
              <w:right w:w="80" w:type="dxa"/>
            </w:tcMar>
            <w:shd w:fill="FFFFFF"/>
          </w:tcPr>
          <w:p>
            <w:pPr>
              <w:spacing w:before="40" w:after="40"/>
            </w:pPr>
            <w:r>
              <w:rPr>
                <w:rFonts w:ascii="Segoe UI" w:hAnsi="Segoe UI"/>
                <w:b w:val="0"/>
                <w:i w:val="0"/>
                <w:color w:val="1F2937"/>
                <w:sz w:val="17"/>
              </w:rPr>
              <w:t>The estimated annual cash flow generated by this holding based on its dividend yield.</w:t>
            </w:r>
          </w:p>
        </w:tc>
      </w:tr>
      <w:tr>
        <w:tc>
          <w:tcPr>
            <w:tcW w:type="dxa" w:w="4680"/>
            <w:tcMar>
              <w:top w:w="60" w:type="dxa"/>
              <w:bottom w:w="60" w:type="dxa"/>
              <w:left w:w="80" w:type="dxa"/>
              <w:right w:w="80" w:type="dxa"/>
            </w:tcMar>
            <w:shd w:fill="F8FAFC"/>
          </w:tcPr>
          <w:p>
            <w:pPr>
              <w:spacing w:before="40" w:after="40"/>
            </w:pPr>
            <w:r>
              <w:rPr>
                <w:rFonts w:ascii="Segoe UI" w:hAnsi="Segoe UI"/>
                <w:b/>
                <w:i w:val="0"/>
                <w:color w:val="1F2937"/>
                <w:sz w:val="17"/>
              </w:rPr>
              <w:t>Exclude Toggle</w:t>
            </w:r>
          </w:p>
        </w:tc>
        <w:tc>
          <w:tcPr>
            <w:tcW w:type="dxa" w:w="4680"/>
            <w:tcMar>
              <w:top w:w="60" w:type="dxa"/>
              <w:bottom w:w="60" w:type="dxa"/>
              <w:left w:w="80" w:type="dxa"/>
              <w:right w:w="80" w:type="dxa"/>
            </w:tcMar>
            <w:shd w:fill="F8FAFC"/>
          </w:tcPr>
          <w:p>
            <w:pPr>
              <w:spacing w:before="40" w:after="40"/>
            </w:pPr>
            <w:r>
              <w:rPr>
                <w:rFonts w:ascii="Segoe UI" w:hAnsi="Segoe UI"/>
                <w:b w:val="0"/>
                <w:i w:val="0"/>
                <w:color w:val="1F2937"/>
                <w:sz w:val="17"/>
              </w:rPr>
              <w:t>A checkbox that lets you exclude speculative or illiquid positions from your retirement net worth.</w:t>
            </w:r>
          </w:p>
        </w:tc>
      </w:tr>
    </w:tbl>
    <w:p>
      <w:pPr>
        <w:spacing w:before="0" w:after="80"/>
      </w:pPr>
    </w:p>
    <w:p>
      <w:r>
        <w:br w:type="page"/>
      </w:r>
    </w:p>
    <w:p>
      <w:pPr>
        <w:keepNext/>
        <w:spacing w:before="440" w:after="160"/>
      </w:pPr>
      <w:r>
        <w:rPr>
          <w:rFonts w:ascii="Segoe UI" w:hAnsi="Segoe UI"/>
          <w:b/>
          <w:i w:val="0"/>
          <w:color w:val="1E3A8A"/>
          <w:sz w:val="40"/>
        </w:rPr>
        <w:t>CHAPTER 9: Income Streams &amp; Social Security Planning</w:t>
      </w:r>
    </w:p>
    <w:p>
      <w:pPr>
        <w:keepNext/>
        <w:spacing w:before="320" w:after="120"/>
      </w:pPr>
      <w:r>
        <w:rPr>
          <w:rFonts w:ascii="Segoe UI" w:hAnsi="Segoe UI"/>
          <w:b/>
          <w:i w:val="0"/>
          <w:color w:val="2563EB"/>
          <w:sz w:val="30"/>
        </w:rPr>
        <w:t>9.1 Entering Household Income Streams</w:t>
      </w:r>
    </w:p>
    <w:p>
      <w:pPr>
        <w:spacing w:before="40" w:after="80" w:line="276" w:lineRule="auto"/>
      </w:pPr>
      <w:r>
        <w:rPr>
          <w:rFonts w:ascii="Segoe UI" w:hAnsi="Segoe UI"/>
          <w:b w:val="0"/>
          <w:i w:val="0"/>
          <w:color w:val="1F2937"/>
          <w:sz w:val="19"/>
        </w:rPr>
        <w:t xml:space="preserve">In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Income</w:t>
      </w:r>
      <w:r>
        <w:rPr>
          <w:rFonts w:ascii="Segoe UI" w:hAnsi="Segoe UI"/>
          <w:b w:val="0"/>
          <w:i w:val="0"/>
          <w:color w:val="1F2937"/>
          <w:sz w:val="19"/>
        </w:rPr>
        <w:t>, you record all incoming cash flows across your working and retirement years:</w:t>
      </w:r>
    </w:p>
    <w:p>
      <w:pPr>
        <w:pStyle w:val="ListBullet"/>
        <w:spacing w:before="20" w:after="40"/>
      </w:pPr>
      <w:r>
        <w:rPr>
          <w:rFonts w:ascii="Segoe UI" w:hAnsi="Segoe UI"/>
          <w:b/>
          <w:i w:val="0"/>
          <w:color w:val="1F2937"/>
          <w:sz w:val="19"/>
        </w:rPr>
        <w:t>Work Income (Salary &amp; Wages)</w:t>
      </w:r>
      <w:r>
        <w:rPr>
          <w:rFonts w:ascii="Segoe UI" w:hAnsi="Segoe UI"/>
          <w:b w:val="0"/>
          <w:i w:val="0"/>
          <w:color w:val="1F2937"/>
          <w:sz w:val="19"/>
        </w:rPr>
        <w:t>: Gross employment earnings. Automatically subjected to federal and state income taxes as well as FICA payroll taxes (Social Security 6.2% up to the annual wage cap; Medicare 1.45% plus 0.9% high-earner surtax).</w:t>
      </w:r>
    </w:p>
    <w:p>
      <w:pPr>
        <w:pStyle w:val="ListBullet"/>
        <w:spacing w:before="20" w:after="40"/>
      </w:pPr>
      <w:r>
        <w:rPr>
          <w:rFonts w:ascii="Segoe UI" w:hAnsi="Segoe UI"/>
          <w:b/>
          <w:i w:val="0"/>
          <w:color w:val="1F2937"/>
          <w:sz w:val="19"/>
        </w:rPr>
        <w:t>"At Retirement" Auto-Sync</w:t>
      </w:r>
      <w:r>
        <w:rPr>
          <w:rFonts w:ascii="Segoe UI" w:hAnsi="Segoe UI"/>
          <w:b w:val="0"/>
          <w:i w:val="0"/>
          <w:color w:val="1F2937"/>
          <w:sz w:val="19"/>
        </w:rPr>
        <w:t xml:space="preserve">: Check the </w:t>
      </w:r>
      <w:r>
        <w:rPr>
          <w:rFonts w:ascii="Segoe UI" w:hAnsi="Segoe UI"/>
          <w:b/>
          <w:i w:val="0"/>
          <w:color w:val="1F2937"/>
          <w:sz w:val="19"/>
        </w:rPr>
        <w:t>At Retirement</w:t>
      </w:r>
      <w:r>
        <w:rPr>
          <w:rFonts w:ascii="Segoe UI" w:hAnsi="Segoe UI"/>
          <w:b w:val="0"/>
          <w:i w:val="0"/>
          <w:color w:val="1F2937"/>
          <w:sz w:val="19"/>
        </w:rPr>
        <w:t xml:space="preserve"> box on your employment income. Financho will automatically end your salary when you reach your target retirement age. If you later change your retirement age in Profile, your work income timeline updates automatically.</w:t>
      </w:r>
    </w:p>
    <w:p>
      <w:pPr>
        <w:pStyle w:val="ListBullet"/>
        <w:spacing w:before="20" w:after="40"/>
      </w:pPr>
      <w:r>
        <w:rPr>
          <w:rFonts w:ascii="Segoe UI" w:hAnsi="Segoe UI"/>
          <w:b/>
          <w:i w:val="0"/>
          <w:color w:val="1F2937"/>
          <w:sz w:val="19"/>
        </w:rPr>
        <w:t>Pensions</w:t>
      </w:r>
      <w:r>
        <w:rPr>
          <w:rFonts w:ascii="Segoe UI" w:hAnsi="Segoe UI"/>
          <w:b w:val="0"/>
          <w:i w:val="0"/>
          <w:color w:val="1F2937"/>
          <w:sz w:val="19"/>
        </w:rPr>
        <w:t>: Fixed or cost-of-living adjusted employer defined-benefit payments. Financho tracks state-specific pension exemptions (for example, states like Pennsylvania and Illinois exempt pension income from state taxes).</w:t>
      </w:r>
    </w:p>
    <w:p>
      <w:pPr>
        <w:pStyle w:val="ListBullet"/>
        <w:spacing w:before="20" w:after="40"/>
      </w:pPr>
      <w:r>
        <w:rPr>
          <w:rFonts w:ascii="Segoe UI" w:hAnsi="Segoe UI"/>
          <w:b/>
          <w:i w:val="0"/>
          <w:color w:val="1F2937"/>
          <w:sz w:val="19"/>
        </w:rPr>
        <w:t>Annuities</w:t>
      </w:r>
      <w:r>
        <w:rPr>
          <w:rFonts w:ascii="Segoe UI" w:hAnsi="Segoe UI"/>
          <w:b w:val="0"/>
          <w:i w:val="0"/>
          <w:color w:val="1F2937"/>
          <w:sz w:val="19"/>
        </w:rPr>
        <w:t>: Guaranteed lifetime or fixed-period contractual cash flows.</w:t>
      </w:r>
    </w:p>
    <w:p>
      <w:pPr>
        <w:pStyle w:val="ListBullet"/>
        <w:spacing w:before="20" w:after="40"/>
      </w:pPr>
      <w:r>
        <w:rPr>
          <w:rFonts w:ascii="Segoe UI" w:hAnsi="Segoe UI"/>
          <w:b/>
          <w:i w:val="0"/>
          <w:color w:val="1F2937"/>
          <w:sz w:val="19"/>
        </w:rPr>
        <w:t>Rental Income</w:t>
      </w:r>
      <w:r>
        <w:rPr>
          <w:rFonts w:ascii="Segoe UI" w:hAnsi="Segoe UI"/>
          <w:b w:val="0"/>
          <w:i w:val="0"/>
          <w:color w:val="1F2937"/>
          <w:sz w:val="19"/>
        </w:rPr>
        <w:t>: Net operating income from investment properties.</w:t>
      </w:r>
    </w:p>
    <w:p>
      <w:pPr>
        <w:pStyle w:val="ListBullet"/>
        <w:spacing w:before="20" w:after="40"/>
      </w:pPr>
      <w:r>
        <w:rPr>
          <w:rFonts w:ascii="Segoe UI" w:hAnsi="Segoe UI"/>
          <w:b/>
          <w:i w:val="0"/>
          <w:color w:val="1F2937"/>
          <w:sz w:val="19"/>
        </w:rPr>
        <w:t>Passive &amp; Other Income</w:t>
      </w:r>
      <w:r>
        <w:rPr>
          <w:rFonts w:ascii="Segoe UI" w:hAnsi="Segoe UI"/>
          <w:b w:val="0"/>
          <w:i w:val="0"/>
          <w:color w:val="1F2937"/>
          <w:sz w:val="19"/>
        </w:rPr>
        <w:t>: Royalties, trusts, or business distributions.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9.2 Social Security Planning: The Power of Claim Timing</w:t>
      </w:r>
    </w:p>
    <w:p>
      <w:pPr>
        <w:spacing w:before="40" w:after="80" w:line="276" w:lineRule="auto"/>
      </w:pPr>
      <w:r>
        <w:rPr>
          <w:rFonts w:ascii="Segoe UI" w:hAnsi="Segoe UI"/>
          <w:b w:val="0"/>
          <w:i w:val="0"/>
          <w:color w:val="1F2937"/>
          <w:sz w:val="19"/>
        </w:rPr>
        <w:t>Social Security is one of your most valuable retirement assets because it provides guaranteed, inflation-protected income for life.</w:t>
      </w:r>
    </w:p>
    <w:p>
      <w:pPr>
        <w:keepNext/>
        <w:spacing w:before="240" w:after="80"/>
      </w:pPr>
      <w:r>
        <w:rPr>
          <w:rFonts w:ascii="Segoe UI" w:hAnsi="Segoe UI"/>
          <w:b/>
          <w:i w:val="0"/>
          <w:color w:val="0F172A"/>
          <w:sz w:val="25"/>
        </w:rPr>
        <w:t>1. Full Retirement Age (FRA)</w:t>
      </w:r>
    </w:p>
    <w:p>
      <w:pPr>
        <w:spacing w:before="40" w:after="80" w:line="276" w:lineRule="auto"/>
      </w:pPr>
      <w:r>
        <w:rPr>
          <w:rFonts w:ascii="Segoe UI" w:hAnsi="Segoe UI"/>
          <w:b w:val="0"/>
          <w:i w:val="0"/>
          <w:color w:val="1F2937"/>
          <w:sz w:val="19"/>
        </w:rPr>
        <w:t>Your Full Retirement Age is determined by federal law based on your birth year:</w:t>
      </w:r>
    </w:p>
    <w:p>
      <w:pPr>
        <w:pStyle w:val="ListBullet"/>
        <w:spacing w:before="20" w:after="40"/>
      </w:pPr>
      <w:r>
        <w:rPr>
          <w:rFonts w:ascii="Segoe UI" w:hAnsi="Segoe UI"/>
          <w:b w:val="0"/>
          <w:i w:val="0"/>
          <w:color w:val="1F2937"/>
          <w:sz w:val="19"/>
        </w:rPr>
        <w:t>Born 1943–1954: Age 66</w:t>
      </w:r>
    </w:p>
    <w:p>
      <w:pPr>
        <w:pStyle w:val="ListBullet"/>
        <w:spacing w:before="20" w:after="40"/>
      </w:pPr>
      <w:r>
        <w:rPr>
          <w:rFonts w:ascii="Segoe UI" w:hAnsi="Segoe UI"/>
          <w:b w:val="0"/>
          <w:i w:val="0"/>
          <w:color w:val="1F2937"/>
          <w:sz w:val="19"/>
        </w:rPr>
        <w:t>Born 1955–1959: Age 66 plus 2 to 10 months</w:t>
      </w:r>
    </w:p>
    <w:p>
      <w:pPr>
        <w:pStyle w:val="ListBullet"/>
        <w:spacing w:before="20" w:after="40"/>
      </w:pPr>
      <w:r>
        <w:rPr>
          <w:rFonts w:ascii="Segoe UI" w:hAnsi="Segoe UI"/>
          <w:b w:val="0"/>
          <w:i w:val="0"/>
          <w:color w:val="1F2937"/>
          <w:sz w:val="19"/>
        </w:rPr>
        <w:t>Born 1960 or later: Age 67</w:t>
      </w:r>
    </w:p>
    <w:p>
      <w:pPr>
        <w:keepNext/>
        <w:spacing w:before="240" w:after="80"/>
      </w:pPr>
      <w:r>
        <w:rPr>
          <w:rFonts w:ascii="Segoe UI" w:hAnsi="Segoe UI"/>
          <w:b/>
          <w:i w:val="0"/>
          <w:color w:val="0F172A"/>
          <w:sz w:val="25"/>
        </w:rPr>
        <w:t>2. Early Claiming vs. Delayed Claiming</w:t>
      </w:r>
    </w:p>
    <w:p>
      <w:pPr>
        <w:pStyle w:val="ListBullet"/>
        <w:spacing w:before="20" w:after="40"/>
      </w:pPr>
      <w:r>
        <w:rPr>
          <w:rFonts w:ascii="Segoe UI" w:hAnsi="Segoe UI"/>
          <w:b/>
          <w:i w:val="0"/>
          <w:color w:val="1F2937"/>
          <w:sz w:val="19"/>
        </w:rPr>
        <w:t>Claiming Early (Age 62)</w:t>
      </w:r>
      <w:r>
        <w:rPr>
          <w:rFonts w:ascii="Segoe UI" w:hAnsi="Segoe UI"/>
          <w:b w:val="0"/>
          <w:i w:val="0"/>
          <w:color w:val="1F2937"/>
          <w:sz w:val="19"/>
        </w:rPr>
        <w:t xml:space="preserve">: You can claim as early as age 62, but your monthly check is permanently reduced by up to </w:t>
      </w:r>
      <w:r>
        <w:rPr>
          <w:rFonts w:ascii="Segoe UI" w:hAnsi="Segoe UI"/>
          <w:b/>
          <w:i w:val="0"/>
          <w:color w:val="1F2937"/>
          <w:sz w:val="19"/>
        </w:rPr>
        <w:t>30%</w:t>
      </w:r>
      <w:r>
        <w:rPr>
          <w:rFonts w:ascii="Segoe UI" w:hAnsi="Segoe UI"/>
          <w:b w:val="0"/>
          <w:i w:val="0"/>
          <w:color w:val="1F2937"/>
          <w:sz w:val="19"/>
        </w:rPr>
        <w:t xml:space="preserve"> compared to your FRA benefit.</w:t>
      </w:r>
    </w:p>
    <w:p>
      <w:pPr>
        <w:pStyle w:val="ListBullet"/>
        <w:spacing w:before="20" w:after="40"/>
      </w:pPr>
      <w:r>
        <w:rPr>
          <w:rFonts w:ascii="Segoe UI" w:hAnsi="Segoe UI"/>
          <w:b/>
          <w:i w:val="0"/>
          <w:color w:val="1F2937"/>
          <w:sz w:val="19"/>
        </w:rPr>
        <w:t>Delaying to Age 70</w:t>
      </w:r>
      <w:r>
        <w:rPr>
          <w:rFonts w:ascii="Segoe UI" w:hAnsi="Segoe UI"/>
          <w:b w:val="0"/>
          <w:i w:val="0"/>
          <w:color w:val="1F2937"/>
          <w:sz w:val="19"/>
        </w:rPr>
        <w:t xml:space="preserve">: For every year you delay claiming past your FRA up to age 70, your benefit earns </w:t>
      </w:r>
      <w:r>
        <w:rPr>
          <w:rFonts w:ascii="Segoe UI" w:hAnsi="Segoe UI"/>
          <w:b/>
          <w:i w:val="0"/>
          <w:color w:val="1F2937"/>
          <w:sz w:val="19"/>
        </w:rPr>
        <w:t>Delayed Retirement Credits of 8% per year</w:t>
      </w:r>
      <w:r>
        <w:rPr>
          <w:rFonts w:ascii="Segoe UI" w:hAnsi="Segoe UI"/>
          <w:b w:val="0"/>
          <w:i w:val="0"/>
          <w:color w:val="1F2937"/>
          <w:sz w:val="19"/>
        </w:rPr>
        <w:t xml:space="preserve">. Claiming at age 70 gives you a guaranteed payout that is </w:t>
      </w:r>
      <w:r>
        <w:rPr>
          <w:rFonts w:ascii="Segoe UI" w:hAnsi="Segoe UI"/>
          <w:b/>
          <w:i w:val="0"/>
          <w:color w:val="1F2937"/>
          <w:sz w:val="19"/>
        </w:rPr>
        <w:t>24% to 32% higher</w:t>
      </w:r>
      <w:r>
        <w:rPr>
          <w:rFonts w:ascii="Segoe UI" w:hAnsi="Segoe UI"/>
          <w:b w:val="0"/>
          <w:i w:val="0"/>
          <w:color w:val="1F2937"/>
          <w:sz w:val="19"/>
        </w:rPr>
        <w:t xml:space="preserve"> for life.</w:t>
      </w:r>
    </w:p>
    <w:p>
      <w:pPr>
        <w:keepNext/>
        <w:spacing w:before="240" w:after="80"/>
      </w:pPr>
      <w:r>
        <w:rPr>
          <w:rFonts w:ascii="Segoe UI" w:hAnsi="Segoe UI"/>
          <w:b/>
          <w:i w:val="0"/>
          <w:color w:val="0F172A"/>
          <w:sz w:val="25"/>
        </w:rPr>
        <w:t>3. One-Click Benefit Estimator</w:t>
      </w:r>
    </w:p>
    <w:p>
      <w:pPr>
        <w:spacing w:before="40" w:after="80" w:line="276" w:lineRule="auto"/>
      </w:pPr>
      <w:r>
        <w:rPr>
          <w:rFonts w:ascii="Segoe UI" w:hAnsi="Segoe UI"/>
          <w:b w:val="0"/>
          <w:i w:val="0"/>
          <w:color w:val="1F2937"/>
          <w:sz w:val="19"/>
        </w:rPr>
        <w:t xml:space="preserve">When adding a Social Security income stream, Financho provides an estimate button based on your salary. Click </w:t>
      </w:r>
      <w:r>
        <w:rPr>
          <w:rFonts w:ascii="Segoe UI" w:hAnsi="Segoe UI"/>
          <w:b/>
          <w:i w:val="0"/>
          <w:color w:val="1F2937"/>
          <w:sz w:val="19"/>
        </w:rPr>
        <w:t>"Use estimate"</w:t>
      </w:r>
      <w:r>
        <w:rPr>
          <w:rFonts w:ascii="Segoe UI" w:hAnsi="Segoe UI"/>
          <w:b w:val="0"/>
          <w:i w:val="0"/>
          <w:color w:val="1F2937"/>
          <w:sz w:val="19"/>
        </w:rPr>
        <w:t xml:space="preserve"> to automatically calculate your baseline monthly benefit using standard Social Security formulas.</w:t>
      </w:r>
    </w:p>
    <w:p>
      <w:pPr>
        <w:keepNext/>
        <w:spacing w:before="240" w:after="80"/>
      </w:pPr>
      <w:r>
        <w:rPr>
          <w:rFonts w:ascii="Segoe UI" w:hAnsi="Segoe UI"/>
          <w:b/>
          <w:i w:val="0"/>
          <w:color w:val="0F172A"/>
          <w:sz w:val="25"/>
        </w:rPr>
        <w:t>4. How Social Security is Taxed</w:t>
      </w:r>
    </w:p>
    <w:p>
      <w:pPr>
        <w:spacing w:before="40" w:after="80" w:line="276" w:lineRule="auto"/>
      </w:pPr>
      <w:r>
        <w:rPr>
          <w:rFonts w:ascii="Segoe UI" w:hAnsi="Segoe UI"/>
          <w:b w:val="0"/>
          <w:i w:val="0"/>
          <w:color w:val="1F2937"/>
          <w:sz w:val="19"/>
        </w:rPr>
        <w:t xml:space="preserve">Social Security benefits are not taxed like regular income. Under IRS rules, benefits are evaluated using your </w:t>
      </w:r>
      <w:r>
        <w:rPr>
          <w:rFonts w:ascii="Segoe UI" w:hAnsi="Segoe UI"/>
          <w:b/>
          <w:i w:val="0"/>
          <w:color w:val="1F2937"/>
          <w:sz w:val="19"/>
        </w:rPr>
        <w:t>Provisional Income</w:t>
      </w:r>
      <w:r>
        <w:rPr>
          <w:rFonts w:ascii="Segoe UI" w:hAnsi="Segoe UI"/>
          <w:b w:val="0"/>
          <w:i w:val="0"/>
          <w:color w:val="1F2937"/>
          <w:sz w:val="19"/>
        </w:rPr>
        <w:t xml:space="preserve"> (Non-Social Security income + 50% of your Social Security benefits):</w:t>
      </w:r>
    </w:p>
    <w:p>
      <w:pPr>
        <w:pStyle w:val="ListBullet"/>
        <w:spacing w:before="20" w:after="40"/>
      </w:pPr>
      <w:r>
        <w:rPr>
          <w:rFonts w:ascii="Segoe UI" w:hAnsi="Segoe UI"/>
          <w:b w:val="0"/>
          <w:i w:val="0"/>
          <w:color w:val="1F2937"/>
          <w:sz w:val="19"/>
        </w:rPr>
        <w:t xml:space="preserve">If provisional income is low, </w:t>
      </w:r>
      <w:r>
        <w:rPr>
          <w:rFonts w:ascii="Segoe UI" w:hAnsi="Segoe UI"/>
          <w:b/>
          <w:i w:val="0"/>
          <w:color w:val="1F2937"/>
          <w:sz w:val="19"/>
        </w:rPr>
        <w:t>0%</w:t>
      </w:r>
      <w:r>
        <w:rPr>
          <w:rFonts w:ascii="Segoe UI" w:hAnsi="Segoe UI"/>
          <w:b w:val="0"/>
          <w:i w:val="0"/>
          <w:color w:val="1F2937"/>
          <w:sz w:val="19"/>
        </w:rPr>
        <w:t xml:space="preserve"> of your benefits are taxed.</w:t>
      </w:r>
    </w:p>
    <w:p>
      <w:pPr>
        <w:pStyle w:val="ListBullet"/>
        <w:spacing w:before="20" w:after="40"/>
      </w:pPr>
      <w:r>
        <w:rPr>
          <w:rFonts w:ascii="Segoe UI" w:hAnsi="Segoe UI"/>
          <w:b w:val="0"/>
          <w:i w:val="0"/>
          <w:color w:val="1F2937"/>
          <w:sz w:val="19"/>
        </w:rPr>
        <w:t xml:space="preserve">At moderate income levels, up to </w:t>
      </w:r>
      <w:r>
        <w:rPr>
          <w:rFonts w:ascii="Segoe UI" w:hAnsi="Segoe UI"/>
          <w:b/>
          <w:i w:val="0"/>
          <w:color w:val="1F2937"/>
          <w:sz w:val="19"/>
        </w:rPr>
        <w:t>50%</w:t>
      </w:r>
      <w:r>
        <w:rPr>
          <w:rFonts w:ascii="Segoe UI" w:hAnsi="Segoe UI"/>
          <w:b w:val="0"/>
          <w:i w:val="0"/>
          <w:color w:val="1F2937"/>
          <w:sz w:val="19"/>
        </w:rPr>
        <w:t xml:space="preserve"> of benefits become taxable.</w:t>
      </w:r>
    </w:p>
    <w:p>
      <w:pPr>
        <w:pStyle w:val="ListBullet"/>
        <w:spacing w:before="20" w:after="40"/>
      </w:pPr>
      <w:r>
        <w:rPr>
          <w:rFonts w:ascii="Segoe UI" w:hAnsi="Segoe UI"/>
          <w:b w:val="0"/>
          <w:i w:val="0"/>
          <w:color w:val="1F2937"/>
          <w:sz w:val="19"/>
        </w:rPr>
        <w:t xml:space="preserve">At higher income levels, a maximum of </w:t>
      </w:r>
      <w:r>
        <w:rPr>
          <w:rFonts w:ascii="Segoe UI" w:hAnsi="Segoe UI"/>
          <w:b/>
          <w:i w:val="0"/>
          <w:color w:val="1F2937"/>
          <w:sz w:val="19"/>
        </w:rPr>
        <w:t>85%</w:t>
      </w:r>
      <w:r>
        <w:rPr>
          <w:rFonts w:ascii="Segoe UI" w:hAnsi="Segoe UI"/>
          <w:b w:val="0"/>
          <w:i w:val="0"/>
          <w:color w:val="1F2937"/>
          <w:sz w:val="19"/>
        </w:rPr>
        <w:t xml:space="preserve"> of benefits are subject to income tax. (15% is always tax-free federally).</w:t>
      </w:r>
    </w:p>
    <w:p>
      <w:r>
        <w:br w:type="page"/>
      </w:r>
    </w:p>
    <w:p>
      <w:pPr>
        <w:keepNext/>
        <w:spacing w:before="440" w:after="160"/>
      </w:pPr>
      <w:r>
        <w:rPr>
          <w:rFonts w:ascii="Segoe UI" w:hAnsi="Segoe UI"/>
          <w:b/>
          <w:i w:val="0"/>
          <w:color w:val="1E3A8A"/>
          <w:sz w:val="40"/>
        </w:rPr>
        <w:t>CHAPTER 10: Living Expenses &amp; Smart Budgeting</w:t>
      </w:r>
    </w:p>
    <w:p>
      <w:pPr>
        <w:keepNext/>
        <w:spacing w:before="320" w:after="120"/>
      </w:pPr>
      <w:r>
        <w:rPr>
          <w:rFonts w:ascii="Segoe UI" w:hAnsi="Segoe UI"/>
          <w:b/>
          <w:i w:val="0"/>
          <w:color w:val="2563EB"/>
          <w:sz w:val="30"/>
        </w:rPr>
        <w:t>10.1 Two-Tier Budgeting: Essential vs. Discretionary Spending</w:t>
      </w:r>
    </w:p>
    <w:p>
      <w:pPr>
        <w:spacing w:before="40" w:after="80" w:line="276" w:lineRule="auto"/>
      </w:pPr>
      <w:r>
        <w:rPr>
          <w:rFonts w:ascii="Segoe UI" w:hAnsi="Segoe UI"/>
          <w:b w:val="0"/>
          <w:i w:val="0"/>
          <w:color w:val="1F2937"/>
          <w:sz w:val="19"/>
        </w:rPr>
        <w:t xml:space="preserve">In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Expenses</w:t>
      </w:r>
      <w:r>
        <w:rPr>
          <w:rFonts w:ascii="Segoe UI" w:hAnsi="Segoe UI"/>
          <w:b w:val="0"/>
          <w:i w:val="0"/>
          <w:color w:val="1F2937"/>
          <w:sz w:val="19"/>
        </w:rPr>
        <w:t>, living costs are divided into two distinct buckets:</w:t>
      </w:r>
    </w:p>
    <w:tbl>
      <w:tblPr>
        <w:tblW w:type="auto" w:w="0"/>
        <w:jc w:val="center"/>
        <w:tblLook w:firstColumn="1" w:firstRow="1" w:lastColumn="0" w:lastRow="0" w:noHBand="0" w:noVBand="1" w:val="04A0"/>
      </w:tblPr>
      <w:tblGrid>
        <w:gridCol w:w="9360"/>
      </w:tblGrid>
      <w:tr>
        <w:tc>
          <w:tcPr>
            <w:tcW w:type="dxa" w:w="9360"/>
            <w:shd w:fill="F1F5F9"/>
            <w:tcMar>
              <w:top w:w="100" w:type="dxa"/>
              <w:bottom w:w="100" w:type="dxa"/>
              <w:left w:w="150" w:type="dxa"/>
              <w:right w:w="150" w:type="dxa"/>
            </w:tcMar>
          </w:tcPr>
          <w:p>
            <w:pPr>
              <w:spacing w:before="40" w:after="40"/>
            </w:pPr>
            <w:r>
              <w:rPr>
                <w:rFonts w:ascii="Consolas" w:hAnsi="Consolas"/>
                <w:b w:val="0"/>
                <w:i w:val="0"/>
                <w:color w:val="1E293B"/>
                <w:sz w:val="17"/>
              </w:rPr>
              <w:t>Total Annual Living Expenses</w:t>
              <w:br/>
              <w:t>├── 1. Essential Living Costs (Housing, Food, Utilities, Health, Debt)</w:t>
              <w:br/>
              <w:t>└── 2. Discretionary Lifestyle Spending (Travel, Leisure, Dining Out, Hobbies)</w:t>
            </w:r>
          </w:p>
        </w:tc>
      </w:tr>
    </w:tbl>
    <w:p>
      <w:pPr>
        <w:spacing w:before="0" w:after="80"/>
      </w:pPr>
    </w:p>
    <w:p>
      <w:pPr>
        <w:keepNext/>
        <w:spacing w:before="240" w:after="80"/>
      </w:pPr>
      <w:r>
        <w:rPr>
          <w:rFonts w:ascii="Segoe UI" w:hAnsi="Segoe UI"/>
          <w:b/>
          <w:i w:val="0"/>
          <w:color w:val="0F172A"/>
          <w:sz w:val="25"/>
        </w:rPr>
        <w:t>Why This Distinction is Crucial:</w:t>
      </w:r>
    </w:p>
    <w:p>
      <w:pPr>
        <w:spacing w:before="40" w:after="80" w:line="276" w:lineRule="auto"/>
      </w:pPr>
      <w:r>
        <w:rPr>
          <w:rFonts w:ascii="Segoe UI" w:hAnsi="Segoe UI"/>
          <w:b w:val="0"/>
          <w:i w:val="0"/>
          <w:color w:val="1F2937"/>
          <w:sz w:val="19"/>
        </w:rPr>
        <w:t>During market downturns, retirees naturally cut back on vacations and luxury spending, but they still have to pay for groceries, utilities, and medicine. By categorizing expenses:</w:t>
      </w:r>
    </w:p>
    <w:p>
      <w:pPr>
        <w:pStyle w:val="ListBullet"/>
        <w:spacing w:before="20" w:after="40"/>
      </w:pPr>
      <w:r>
        <w:rPr>
          <w:rFonts w:ascii="Segoe UI" w:hAnsi="Segoe UI"/>
          <w:b w:val="0"/>
          <w:i w:val="0"/>
          <w:color w:val="1F2937"/>
          <w:sz w:val="19"/>
        </w:rPr>
        <w:t xml:space="preserve">Financho protects your </w:t>
      </w:r>
      <w:r>
        <w:rPr>
          <w:rFonts w:ascii="Segoe UI" w:hAnsi="Segoe UI"/>
          <w:b/>
          <w:i w:val="0"/>
          <w:color w:val="1F2937"/>
          <w:sz w:val="19"/>
        </w:rPr>
        <w:t>Essential Expenses</w:t>
      </w:r>
      <w:r>
        <w:rPr>
          <w:rFonts w:ascii="Segoe UI" w:hAnsi="Segoe UI"/>
          <w:b w:val="0"/>
          <w:i w:val="0"/>
          <w:color w:val="1F2937"/>
          <w:sz w:val="19"/>
        </w:rPr>
        <w:t xml:space="preserve"> from ever being reduced during market drawdowns.</w:t>
      </w:r>
    </w:p>
    <w:p>
      <w:pPr>
        <w:pStyle w:val="ListBullet"/>
        <w:spacing w:before="20" w:after="40"/>
      </w:pPr>
      <w:r>
        <w:rPr>
          <w:rFonts w:ascii="Segoe UI" w:hAnsi="Segoe UI"/>
          <w:b w:val="0"/>
          <w:i w:val="0"/>
          <w:color w:val="1F2937"/>
          <w:sz w:val="19"/>
        </w:rPr>
        <w:t xml:space="preserve">Your </w:t>
      </w:r>
      <w:r>
        <w:rPr>
          <w:rFonts w:ascii="Segoe UI" w:hAnsi="Segoe UI"/>
          <w:b/>
          <w:i w:val="0"/>
          <w:color w:val="1F2937"/>
          <w:sz w:val="19"/>
        </w:rPr>
        <w:t>Discretionary Expenses</w:t>
      </w:r>
      <w:r>
        <w:rPr>
          <w:rFonts w:ascii="Segoe UI" w:hAnsi="Segoe UI"/>
          <w:b w:val="0"/>
          <w:i w:val="0"/>
          <w:color w:val="1F2937"/>
          <w:sz w:val="19"/>
        </w:rPr>
        <w:t xml:space="preserve"> can participate in dynamic spending guardrails, showing you how modest temporary adjustments in down markets dramatically boost your long-term success.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10.2 Automatic Category Detection</w:t>
      </w:r>
    </w:p>
    <w:p>
      <w:pPr>
        <w:spacing w:before="40" w:after="80" w:line="276" w:lineRule="auto"/>
      </w:pPr>
      <w:r>
        <w:rPr>
          <w:rFonts w:ascii="Segoe UI" w:hAnsi="Segoe UI"/>
          <w:b w:val="0"/>
          <w:i w:val="0"/>
          <w:color w:val="1F2937"/>
          <w:sz w:val="19"/>
        </w:rPr>
        <w:t xml:space="preserve">When you type an expense name, Financho automatically categorizes it for you. It defaults an expense to </w:t>
      </w:r>
      <w:r>
        <w:rPr>
          <w:rFonts w:ascii="Segoe UI" w:hAnsi="Segoe UI"/>
          <w:b/>
          <w:i w:val="0"/>
          <w:color w:val="1F2937"/>
          <w:sz w:val="19"/>
        </w:rPr>
        <w:t>Essential</w:t>
      </w:r>
      <w:r>
        <w:rPr>
          <w:rFonts w:ascii="Segoe UI" w:hAnsi="Segoe UI"/>
          <w:b w:val="0"/>
          <w:i w:val="0"/>
          <w:color w:val="1F2937"/>
          <w:sz w:val="19"/>
        </w:rPr>
        <w:t xml:space="preserve"> when the name contains a word like: </w:t>
      </w:r>
      <w:r>
        <w:rPr>
          <w:rFonts w:ascii="Segoe UI" w:hAnsi="Segoe UI"/>
          <w:b w:val="0"/>
          <w:i/>
          <w:color w:val="1F2937"/>
          <w:sz w:val="19"/>
        </w:rPr>
        <w:t>housing, rent, mortgage, property tax, HOA, food, groceries, utilities, electric, water, gas, insurance, health, medical, dental, prescriptions, childcare, daycare, tuition, school, transportation, car payment,</w:t>
      </w:r>
      <w:r>
        <w:rPr>
          <w:rFonts w:ascii="Segoe UI" w:hAnsi="Segoe UI"/>
          <w:b w:val="0"/>
          <w:i w:val="0"/>
          <w:color w:val="1F2937"/>
          <w:sz w:val="19"/>
        </w:rPr>
        <w:t xml:space="preserve"> or </w:t>
      </w:r>
      <w:r>
        <w:rPr>
          <w:rFonts w:ascii="Segoe UI" w:hAnsi="Segoe UI"/>
          <w:b w:val="0"/>
          <w:i/>
          <w:color w:val="1F2937"/>
          <w:sz w:val="19"/>
        </w:rPr>
        <w:t>auto loan</w:t>
      </w:r>
      <w:r>
        <w:rPr>
          <w:rFonts w:ascii="Segoe UI" w:hAnsi="Segoe UI"/>
          <w:b w:val="0"/>
          <w:i w:val="0"/>
          <w:color w:val="1F2937"/>
          <w:sz w:val="19"/>
        </w:rPr>
        <w:t>.</w:t>
      </w:r>
    </w:p>
    <w:p>
      <w:pPr>
        <w:spacing w:before="40" w:after="80" w:line="276" w:lineRule="auto"/>
      </w:pPr>
      <w:r>
        <w:rPr>
          <w:rFonts w:ascii="Segoe UI" w:hAnsi="Segoe UI"/>
          <w:b w:val="0"/>
          <w:i w:val="0"/>
          <w:color w:val="1F2937"/>
          <w:sz w:val="19"/>
        </w:rPr>
        <w:t xml:space="preserve">Anything that doesn't match one of those essential keywords — such as </w:t>
      </w:r>
      <w:r>
        <w:rPr>
          <w:rFonts w:ascii="Segoe UI" w:hAnsi="Segoe UI"/>
          <w:b w:val="0"/>
          <w:i/>
          <w:color w:val="1F2937"/>
          <w:sz w:val="19"/>
        </w:rPr>
        <w:t>travel, vacation, dining, restaurants, entertainment, hobbies,</w:t>
      </w:r>
      <w:r>
        <w:rPr>
          <w:rFonts w:ascii="Segoe UI" w:hAnsi="Segoe UI"/>
          <w:b w:val="0"/>
          <w:i w:val="0"/>
          <w:color w:val="1F2937"/>
          <w:sz w:val="19"/>
        </w:rPr>
        <w:t xml:space="preserve"> or </w:t>
      </w:r>
      <w:r>
        <w:rPr>
          <w:rFonts w:ascii="Segoe UI" w:hAnsi="Segoe UI"/>
          <w:b w:val="0"/>
          <w:i/>
          <w:color w:val="1F2937"/>
          <w:sz w:val="19"/>
        </w:rPr>
        <w:t>shopping</w:t>
      </w:r>
      <w:r>
        <w:rPr>
          <w:rFonts w:ascii="Segoe UI" w:hAnsi="Segoe UI"/>
          <w:b w:val="0"/>
          <w:i w:val="0"/>
          <w:color w:val="1F2937"/>
          <w:sz w:val="19"/>
        </w:rPr>
        <w:t xml:space="preserve"> — defaults to </w:t>
      </w:r>
      <w:r>
        <w:rPr>
          <w:rFonts w:ascii="Segoe UI" w:hAnsi="Segoe UI"/>
          <w:b/>
          <w:i w:val="0"/>
          <w:color w:val="1F2937"/>
          <w:sz w:val="19"/>
        </w:rPr>
        <w:t>Discretionary</w:t>
      </w:r>
      <w:r>
        <w:rPr>
          <w:rFonts w:ascii="Segoe UI" w:hAnsi="Segoe UI"/>
          <w:b w:val="0"/>
          <w:i w:val="0"/>
          <w:color w:val="1F2937"/>
          <w:sz w:val="19"/>
        </w:rPr>
        <w:t>.</w:t>
      </w:r>
    </w:p>
    <w:p>
      <w:pPr>
        <w:spacing w:before="40" w:after="80" w:line="276" w:lineRule="auto"/>
      </w:pPr>
      <w:r>
        <w:rPr>
          <w:rFonts w:ascii="Segoe UI" w:hAnsi="Segoe UI"/>
          <w:b w:val="0"/>
          <w:i w:val="0"/>
          <w:color w:val="1F2937"/>
          <w:sz w:val="19"/>
        </w:rPr>
        <w:t>Either way, you can override the bucket selector with a single click if Financho's guess doesn't match your intent.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10.3 Specialized Medical Inflation Indexing</w:t>
      </w:r>
    </w:p>
    <w:p>
      <w:pPr>
        <w:spacing w:before="40" w:after="80" w:line="276" w:lineRule="auto"/>
      </w:pPr>
      <w:r>
        <w:rPr>
          <w:rFonts w:ascii="Segoe UI" w:hAnsi="Segoe UI"/>
          <w:b w:val="0"/>
          <w:i w:val="0"/>
          <w:color w:val="1F2937"/>
          <w:sz w:val="19"/>
        </w:rPr>
        <w:t>Standard living expenses grow each year with the general inflation rate (default: 2.5%). However, healthcare costs historically outpace general inflation.</w:t>
      </w:r>
    </w:p>
    <w:p>
      <w:pPr>
        <w:spacing w:before="40" w:after="80" w:line="276" w:lineRule="auto"/>
      </w:pPr>
      <w:r>
        <w:rPr>
          <w:rFonts w:ascii="Segoe UI" w:hAnsi="Segoe UI"/>
          <w:b w:val="0"/>
          <w:i w:val="0"/>
          <w:color w:val="1F2937"/>
          <w:sz w:val="19"/>
        </w:rPr>
        <w:t xml:space="preserve">Whenever an expense category contains the words </w:t>
      </w:r>
      <w:r>
        <w:rPr>
          <w:rFonts w:ascii="Segoe UI" w:hAnsi="Segoe UI"/>
          <w:b/>
          <w:i w:val="0"/>
          <w:color w:val="1F2937"/>
          <w:sz w:val="19"/>
        </w:rPr>
        <w:t>health</w:t>
      </w:r>
      <w:r>
        <w:rPr>
          <w:rFonts w:ascii="Segoe UI" w:hAnsi="Segoe UI"/>
          <w:b w:val="0"/>
          <w:i w:val="0"/>
          <w:color w:val="1F2937"/>
          <w:sz w:val="19"/>
        </w:rPr>
        <w:t xml:space="preserve"> or </w:t>
      </w:r>
      <w:r>
        <w:rPr>
          <w:rFonts w:ascii="Segoe UI" w:hAnsi="Segoe UI"/>
          <w:b/>
          <w:i w:val="0"/>
          <w:color w:val="1F2937"/>
          <w:sz w:val="19"/>
        </w:rPr>
        <w:t>medical</w:t>
      </w:r>
      <w:r>
        <w:rPr>
          <w:rFonts w:ascii="Segoe UI" w:hAnsi="Segoe UI"/>
          <w:b w:val="0"/>
          <w:i w:val="0"/>
          <w:color w:val="1F2937"/>
          <w:sz w:val="19"/>
        </w:rPr>
        <w:t xml:space="preserve">, Financho automatically applies the </w:t>
      </w:r>
      <w:r>
        <w:rPr>
          <w:rFonts w:ascii="Segoe UI" w:hAnsi="Segoe UI"/>
          <w:b/>
          <w:i w:val="0"/>
          <w:color w:val="1F2937"/>
          <w:sz w:val="19"/>
        </w:rPr>
        <w:t>Medical Inflation Rate</w:t>
      </w:r>
      <w:r>
        <w:rPr>
          <w:rFonts w:ascii="Segoe UI" w:hAnsi="Segoe UI"/>
          <w:b w:val="0"/>
          <w:i w:val="0"/>
          <w:color w:val="1F2937"/>
          <w:sz w:val="19"/>
        </w:rPr>
        <w:t xml:space="preserve"> (default: 4.0%), ensuring your future medical budget accurately reflects rising healthcare costs.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10.4 Modeling One-Time Milestone Expenses</w:t>
      </w:r>
    </w:p>
    <w:p>
      <w:pPr>
        <w:spacing w:before="40" w:after="80" w:line="276" w:lineRule="auto"/>
      </w:pPr>
      <w:r>
        <w:rPr>
          <w:rFonts w:ascii="Segoe UI" w:hAnsi="Segoe UI"/>
          <w:b w:val="0"/>
          <w:i w:val="0"/>
          <w:color w:val="1F2937"/>
          <w:sz w:val="19"/>
        </w:rPr>
        <w:t>You can model one-time life events by setting specific start and end years:</w:t>
      </w:r>
    </w:p>
    <w:p>
      <w:pPr>
        <w:pStyle w:val="ListBullet"/>
        <w:spacing w:before="20" w:after="40"/>
      </w:pPr>
      <w:r>
        <w:rPr>
          <w:rFonts w:ascii="Segoe UI" w:hAnsi="Segoe UI"/>
          <w:b/>
          <w:i w:val="0"/>
          <w:color w:val="1F2937"/>
          <w:sz w:val="19"/>
        </w:rPr>
        <w:t>College Tuition Support</w:t>
      </w:r>
      <w:r>
        <w:rPr>
          <w:rFonts w:ascii="Segoe UI" w:hAnsi="Segoe UI"/>
          <w:b w:val="0"/>
          <w:i w:val="0"/>
          <w:color w:val="1F2937"/>
          <w:sz w:val="19"/>
        </w:rPr>
        <w:t>: Model 4 years of tuition assistance.</w:t>
      </w:r>
    </w:p>
    <w:p>
      <w:pPr>
        <w:pStyle w:val="ListBullet"/>
        <w:spacing w:before="20" w:after="40"/>
      </w:pPr>
      <w:r>
        <w:rPr>
          <w:rFonts w:ascii="Segoe UI" w:hAnsi="Segoe UI"/>
          <w:b/>
          <w:i w:val="0"/>
          <w:color w:val="1F2937"/>
          <w:sz w:val="19"/>
        </w:rPr>
        <w:t>Home Remodel / Roof Replacement</w:t>
      </w:r>
      <w:r>
        <w:rPr>
          <w:rFonts w:ascii="Segoe UI" w:hAnsi="Segoe UI"/>
          <w:b w:val="0"/>
          <w:i w:val="0"/>
          <w:color w:val="1F2937"/>
          <w:sz w:val="19"/>
        </w:rPr>
        <w:t>: Model a one-time $30,000 expense in a single year.</w:t>
      </w:r>
    </w:p>
    <w:p>
      <w:pPr>
        <w:pStyle w:val="ListBullet"/>
        <w:spacing w:before="20" w:after="40"/>
      </w:pPr>
      <w:r>
        <w:rPr>
          <w:rFonts w:ascii="Segoe UI" w:hAnsi="Segoe UI"/>
          <w:b/>
          <w:i w:val="0"/>
          <w:color w:val="1F2937"/>
          <w:sz w:val="19"/>
        </w:rPr>
        <w:t>Early Retirement Travel Surge</w:t>
      </w:r>
      <w:r>
        <w:rPr>
          <w:rFonts w:ascii="Segoe UI" w:hAnsi="Segoe UI"/>
          <w:b w:val="0"/>
          <w:i w:val="0"/>
          <w:color w:val="1F2937"/>
          <w:sz w:val="19"/>
        </w:rPr>
        <w:t>: Model an extra $15,000 per year during your active "go-go" retirement years (e.g., ages 65 to 75).</w:t>
      </w:r>
    </w:p>
    <w:p>
      <w:r>
        <w:br w:type="page"/>
      </w:r>
    </w:p>
    <w:p>
      <w:pPr>
        <w:keepNext/>
        <w:spacing w:before="440" w:after="160"/>
      </w:pPr>
      <w:r>
        <w:rPr>
          <w:rFonts w:ascii="Segoe UI" w:hAnsi="Segoe UI"/>
          <w:b/>
          <w:i w:val="0"/>
          <w:color w:val="1E3A8A"/>
          <w:sz w:val="40"/>
        </w:rPr>
        <w:t>CHAPTER 11: Debt Management &amp; Payoff Strategies</w:t>
      </w:r>
    </w:p>
    <w:p>
      <w:pPr>
        <w:keepNext/>
        <w:spacing w:before="320" w:after="120"/>
      </w:pPr>
      <w:r>
        <w:rPr>
          <w:rFonts w:ascii="Segoe UI" w:hAnsi="Segoe UI"/>
          <w:b/>
          <w:i w:val="0"/>
          <w:color w:val="2563EB"/>
          <w:sz w:val="30"/>
        </w:rPr>
        <w:t>11.1 Tracking Household Liabilities</w:t>
      </w:r>
    </w:p>
    <w:p>
      <w:pPr>
        <w:spacing w:before="40" w:after="80" w:line="276" w:lineRule="auto"/>
      </w:pPr>
      <w:r>
        <w:rPr>
          <w:rFonts w:ascii="Segoe UI" w:hAnsi="Segoe UI"/>
          <w:b w:val="0"/>
          <w:i w:val="0"/>
          <w:color w:val="1F2937"/>
          <w:sz w:val="19"/>
        </w:rPr>
        <w:t xml:space="preserve">In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Debts</w:t>
      </w:r>
      <w:r>
        <w:rPr>
          <w:rFonts w:ascii="Segoe UI" w:hAnsi="Segoe UI"/>
          <w:b w:val="0"/>
          <w:i w:val="0"/>
          <w:color w:val="1F2937"/>
          <w:sz w:val="19"/>
        </w:rPr>
        <w:t>, you manage outstanding liabilities including:</w:t>
      </w:r>
    </w:p>
    <w:p>
      <w:pPr>
        <w:pStyle w:val="ListBullet"/>
        <w:spacing w:before="20" w:after="40"/>
      </w:pPr>
      <w:r>
        <w:rPr>
          <w:rFonts w:ascii="Segoe UI" w:hAnsi="Segoe UI"/>
          <w:b/>
          <w:i w:val="0"/>
          <w:color w:val="1F2937"/>
          <w:sz w:val="19"/>
        </w:rPr>
        <w:t>Residential Mortgages</w:t>
      </w:r>
      <w:r>
        <w:rPr>
          <w:rFonts w:ascii="Segoe UI" w:hAnsi="Segoe UI"/>
          <w:b w:val="0"/>
          <w:i w:val="0"/>
          <w:color w:val="1F2937"/>
          <w:sz w:val="19"/>
        </w:rPr>
        <w:t>: Primary home loans and secondary properties.</w:t>
      </w:r>
    </w:p>
    <w:p>
      <w:pPr>
        <w:pStyle w:val="ListBullet"/>
        <w:spacing w:before="20" w:after="40"/>
      </w:pPr>
      <w:r>
        <w:rPr>
          <w:rFonts w:ascii="Segoe UI" w:hAnsi="Segoe UI"/>
          <w:b/>
          <w:i w:val="0"/>
          <w:color w:val="1F2937"/>
          <w:sz w:val="19"/>
        </w:rPr>
        <w:t>Student Loans</w:t>
      </w:r>
      <w:r>
        <w:rPr>
          <w:rFonts w:ascii="Segoe UI" w:hAnsi="Segoe UI"/>
          <w:b w:val="0"/>
          <w:i w:val="0"/>
          <w:color w:val="1F2937"/>
          <w:sz w:val="19"/>
        </w:rPr>
        <w:t>: Federal and private education debt.</w:t>
      </w:r>
    </w:p>
    <w:p>
      <w:pPr>
        <w:pStyle w:val="ListBullet"/>
        <w:spacing w:before="20" w:after="40"/>
      </w:pPr>
      <w:r>
        <w:rPr>
          <w:rFonts w:ascii="Segoe UI" w:hAnsi="Segoe UI"/>
          <w:b/>
          <w:i w:val="0"/>
          <w:color w:val="1F2937"/>
          <w:sz w:val="19"/>
        </w:rPr>
        <w:t>Auto Loans</w:t>
      </w:r>
      <w:r>
        <w:rPr>
          <w:rFonts w:ascii="Segoe UI" w:hAnsi="Segoe UI"/>
          <w:b w:val="0"/>
          <w:i w:val="0"/>
          <w:color w:val="1F2937"/>
          <w:sz w:val="19"/>
        </w:rPr>
        <w:t>: Vehicle financing.</w:t>
      </w:r>
    </w:p>
    <w:p>
      <w:pPr>
        <w:pStyle w:val="ListBullet"/>
        <w:spacing w:before="20" w:after="40"/>
      </w:pPr>
      <w:r>
        <w:rPr>
          <w:rFonts w:ascii="Segoe UI" w:hAnsi="Segoe UI"/>
          <w:b/>
          <w:i w:val="0"/>
          <w:color w:val="1F2937"/>
          <w:sz w:val="19"/>
        </w:rPr>
        <w:t>Credit Cards &amp; Personal Debt</w:t>
      </w:r>
      <w:r>
        <w:rPr>
          <w:rFonts w:ascii="Segoe UI" w:hAnsi="Segoe UI"/>
          <w:b w:val="0"/>
          <w:i w:val="0"/>
          <w:color w:val="1F2937"/>
          <w:sz w:val="19"/>
        </w:rPr>
        <w:t>: High-interest unsecured debt.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11.2 True Monthly Amortization</w:t>
      </w:r>
    </w:p>
    <w:p>
      <w:pPr>
        <w:spacing w:before="40" w:after="80" w:line="276" w:lineRule="auto"/>
      </w:pPr>
      <w:r>
        <w:rPr>
          <w:rFonts w:ascii="Segoe UI" w:hAnsi="Segoe UI"/>
          <w:b w:val="0"/>
          <w:i w:val="0"/>
          <w:color w:val="1F2937"/>
          <w:sz w:val="19"/>
        </w:rPr>
        <w:t>Many basic financial calculators simply charge an annual interest percentage on your opening loan balance. This overestimates total interest and miscalculates your true loan payoff date by up to two years.</w:t>
      </w:r>
    </w:p>
    <w:p>
      <w:pPr>
        <w:spacing w:before="40" w:after="80" w:line="276" w:lineRule="auto"/>
      </w:pPr>
      <w:r>
        <w:rPr>
          <w:rFonts w:ascii="Segoe UI" w:hAnsi="Segoe UI"/>
          <w:b w:val="0"/>
          <w:i w:val="0"/>
          <w:color w:val="1F2937"/>
          <w:sz w:val="19"/>
        </w:rPr>
        <w:t xml:space="preserve">Financho simulates </w:t>
      </w:r>
      <w:r>
        <w:rPr>
          <w:rFonts w:ascii="Segoe UI" w:hAnsi="Segoe UI"/>
          <w:b/>
          <w:i w:val="0"/>
          <w:color w:val="1F2937"/>
          <w:sz w:val="19"/>
        </w:rPr>
        <w:t>12 discrete monthly amortization cycles</w:t>
      </w:r>
      <w:r>
        <w:rPr>
          <w:rFonts w:ascii="Segoe UI" w:hAnsi="Segoe UI"/>
          <w:b w:val="0"/>
          <w:i w:val="0"/>
          <w:color w:val="1F2937"/>
          <w:sz w:val="19"/>
        </w:rPr>
        <w:t xml:space="preserve"> each calendar year:</w:t>
      </w:r>
    </w:p>
    <w:p>
      <w:pPr>
        <w:pStyle w:val="ListNumber"/>
        <w:spacing w:before="20" w:after="40"/>
      </w:pPr>
      <w:r>
        <w:rPr>
          <w:rFonts w:ascii="Segoe UI" w:hAnsi="Segoe UI"/>
          <w:b w:val="0"/>
          <w:i w:val="0"/>
          <w:color w:val="1F2937"/>
          <w:sz w:val="19"/>
        </w:rPr>
        <w:t>Each month, interest is charged only on the exact remaining balance.</w:t>
      </w:r>
    </w:p>
    <w:p>
      <w:pPr>
        <w:pStyle w:val="ListNumber"/>
        <w:spacing w:before="20" w:after="40"/>
      </w:pPr>
      <w:r>
        <w:rPr>
          <w:rFonts w:ascii="Segoe UI" w:hAnsi="Segoe UI"/>
          <w:b w:val="0"/>
          <w:i w:val="0"/>
          <w:color w:val="1F2937"/>
          <w:sz w:val="19"/>
        </w:rPr>
        <w:t>Your monthly payment pays off the accrued interest first, with the remainder reducing the loan principal.</w:t>
      </w:r>
    </w:p>
    <w:p>
      <w:pPr>
        <w:pStyle w:val="ListNumber"/>
        <w:spacing w:before="20" w:after="40"/>
      </w:pPr>
      <w:r>
        <w:rPr>
          <w:rFonts w:ascii="Segoe UI" w:hAnsi="Segoe UI"/>
          <w:b w:val="0"/>
          <w:i w:val="0"/>
          <w:color w:val="1F2937"/>
          <w:sz w:val="19"/>
        </w:rPr>
        <w:t>As the principal drops, interest decreases each month, accelerating debt payoff.</w:t>
      </w:r>
    </w:p>
    <w:p>
      <w:pPr>
        <w:pStyle w:val="ListNumber"/>
        <w:spacing w:before="20" w:after="40"/>
      </w:pPr>
      <w:r>
        <w:rPr>
          <w:rFonts w:ascii="Segoe UI" w:hAnsi="Segoe UI"/>
          <w:b w:val="0"/>
          <w:i w:val="0"/>
          <w:color w:val="1F2937"/>
          <w:sz w:val="19"/>
        </w:rPr>
        <w:t>When the balance reaches zero, the loan is marked as satisfied, and that monthly payment requirement disappears from your living expenses forever.</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11.3 Paying Off Debt Faster</w:t>
      </w:r>
    </w:p>
    <w:p>
      <w:pPr>
        <w:spacing w:before="40" w:after="80" w:line="276" w:lineRule="auto"/>
      </w:pPr>
      <w:r>
        <w:rPr>
          <w:rFonts w:ascii="Segoe UI" w:hAnsi="Segoe UI"/>
          <w:b w:val="0"/>
          <w:i w:val="0"/>
          <w:color w:val="1F2937"/>
          <w:sz w:val="19"/>
        </w:rPr>
        <w:t xml:space="preserve">If your goal is to enter retirement completely debt-free, the most direct lever is your </w:t>
      </w:r>
      <w:r>
        <w:rPr>
          <w:rFonts w:ascii="Segoe UI" w:hAnsi="Segoe UI"/>
          <w:b/>
          <w:i w:val="0"/>
          <w:color w:val="1F2937"/>
          <w:sz w:val="19"/>
        </w:rPr>
        <w:t>Monthly Payment</w:t>
      </w:r>
      <w:r>
        <w:rPr>
          <w:rFonts w:ascii="Segoe UI" w:hAnsi="Segoe UI"/>
          <w:b w:val="0"/>
          <w:i w:val="0"/>
          <w:color w:val="1F2937"/>
          <w:sz w:val="19"/>
        </w:rPr>
        <w:t xml:space="preserve"> field — increasing it accelerates your true amortization schedule and shows you the new, earlier payoff date.</w:t>
      </w:r>
    </w:p>
    <w:p>
      <w:pPr>
        <w:spacing w:before="40" w:after="80" w:line="276" w:lineRule="auto"/>
      </w:pPr>
      <w:r>
        <w:rPr>
          <w:rFonts w:ascii="Segoe UI" w:hAnsi="Segoe UI"/>
          <w:b w:val="0"/>
          <w:i w:val="0"/>
          <w:color w:val="1F2937"/>
          <w:sz w:val="19"/>
        </w:rPr>
        <w:t xml:space="preserve">If you want to test a specific what-if (for example, "What if I pay off my mortgage entirely with a lump sum the year I turn 65?"), ask the </w:t>
      </w:r>
      <w:r>
        <w:rPr>
          <w:rFonts w:ascii="Segoe UI" w:hAnsi="Segoe UI"/>
          <w:b/>
          <w:i w:val="0"/>
          <w:color w:val="1F2937"/>
          <w:sz w:val="19"/>
        </w:rPr>
        <w:t>AI Assistant</w:t>
      </w:r>
      <w:r>
        <w:rPr>
          <w:rFonts w:ascii="Segoe UI" w:hAnsi="Segoe UI"/>
          <w:b w:val="0"/>
          <w:i w:val="0"/>
          <w:color w:val="1F2937"/>
          <w:sz w:val="19"/>
        </w:rPr>
        <w:t xml:space="preserve"> to model it for you and, if you like the result, save it as a </w:t>
      </w:r>
      <w:r>
        <w:rPr>
          <w:rFonts w:ascii="Segoe UI" w:hAnsi="Segoe UI"/>
          <w:b/>
          <w:i w:val="0"/>
          <w:color w:val="1F2937"/>
          <w:sz w:val="19"/>
        </w:rPr>
        <w:t>What-If Scenario</w:t>
      </w:r>
      <w:r>
        <w:rPr>
          <w:rFonts w:ascii="Segoe UI" w:hAnsi="Segoe UI"/>
          <w:b w:val="0"/>
          <w:i w:val="0"/>
          <w:color w:val="1F2937"/>
          <w:sz w:val="19"/>
        </w:rPr>
        <w:t xml:space="preserve"> so you can compare it side-by-side with your current plan.</w:t>
      </w:r>
    </w:p>
    <w:p>
      <w:r>
        <w:br w:type="page"/>
      </w:r>
    </w:p>
    <w:p>
      <w:pPr>
        <w:keepNext/>
        <w:spacing w:before="440" w:after="160"/>
      </w:pPr>
      <w:r>
        <w:rPr>
          <w:rFonts w:ascii="Segoe UI" w:hAnsi="Segoe UI"/>
          <w:b/>
          <w:i w:val="0"/>
          <w:color w:val="1E3A8A"/>
          <w:sz w:val="40"/>
        </w:rPr>
        <w:t>CHAPTER 12: Macroeconomic Assumptions &amp; Dynamic Spending Guardrails</w:t>
      </w:r>
    </w:p>
    <w:p>
      <w:pPr>
        <w:keepNext/>
        <w:spacing w:before="320" w:after="120"/>
      </w:pPr>
      <w:r>
        <w:rPr>
          <w:rFonts w:ascii="Segoe UI" w:hAnsi="Segoe UI"/>
          <w:b/>
          <w:i w:val="0"/>
          <w:color w:val="2563EB"/>
          <w:sz w:val="30"/>
        </w:rPr>
        <w:t>12.1 Capital Market Assumptions</w:t>
      </w:r>
    </w:p>
    <w:p>
      <w:pPr>
        <w:spacing w:before="40" w:after="80" w:line="276" w:lineRule="auto"/>
      </w:pPr>
      <w:r>
        <w:rPr>
          <w:rFonts w:ascii="Segoe UI" w:hAnsi="Segoe UI"/>
          <w:b w:val="0"/>
          <w:i w:val="0"/>
          <w:color w:val="1F2937"/>
          <w:sz w:val="19"/>
        </w:rPr>
        <w:t xml:space="preserve">In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Assumptions</w:t>
      </w:r>
      <w:r>
        <w:rPr>
          <w:rFonts w:ascii="Segoe UI" w:hAnsi="Segoe UI"/>
          <w:b w:val="0"/>
          <w:i w:val="0"/>
          <w:color w:val="1F2937"/>
          <w:sz w:val="19"/>
        </w:rPr>
        <w:t>, you establish the economic expectations that drive your projections:</w:t>
      </w:r>
    </w:p>
    <w:tbl>
      <w:tblPr>
        <w:tblW w:type="auto" w:w="0"/>
        <w:jc w:val="center"/>
        <w:tblLook w:firstColumn="1" w:firstRow="1" w:lastColumn="0" w:lastRow="0" w:noHBand="0" w:noVBand="1" w:val="04A0"/>
      </w:tblPr>
      <w:tblGrid>
        <w:gridCol w:w="3120"/>
        <w:gridCol w:w="3120"/>
        <w:gridCol w:w="3120"/>
      </w:tblGrid>
      <w:tr>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Parameter</w:t>
            </w:r>
          </w:p>
        </w:tc>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Recommended Baseline</w:t>
            </w:r>
          </w:p>
        </w:tc>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Description</w:t>
            </w:r>
          </w:p>
        </w:tc>
      </w:tr>
      <w:tr>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General Inflation Rate</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2.5% – 3.0%</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Annual increase in baseline living costs, tax brackets, and Social Security benefits.</w:t>
            </w:r>
          </w:p>
        </w:tc>
      </w:tr>
      <w:tr>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Medical Inflation Rate</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3.5% – 4.5%</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Annual escalation rate applied to healthcare, Medicare, and long-term care costs.</w:t>
            </w:r>
          </w:p>
        </w:tc>
      </w:tr>
      <w:tr>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Stock (Equity) Return</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6.5% – 7.5%</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Expected long-term annual nominal return for stock investments.</w:t>
            </w:r>
          </w:p>
        </w:tc>
      </w:tr>
      <w:tr>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Bond (Fixed Income) Return</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3.0% – 4.0%</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Expected annual yield and return for government and corporate bonds.</w:t>
            </w:r>
          </w:p>
        </w:tc>
      </w:tr>
      <w:tr>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Cash Return</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1.5% – 2.5%</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Yield on high-yield savings, money markets, and short-term CDs.</w:t>
            </w:r>
          </w:p>
        </w:tc>
      </w:tr>
      <w:tr>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State of Residence</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Your Home State</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Enables Financho's built-in state income tax calculations for all 50 states + DC.</w:t>
            </w:r>
          </w:p>
        </w:tc>
      </w:tr>
    </w:tbl>
    <w:p>
      <w:pPr>
        <w:spacing w:before="0" w:after="80"/>
      </w:pP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12.2 Guyton-Klinger Dynamic Spending Guardrails</w:t>
      </w:r>
    </w:p>
    <w:p>
      <w:pPr>
        <w:spacing w:before="40" w:after="80" w:line="276" w:lineRule="auto"/>
      </w:pPr>
      <w:r>
        <w:rPr>
          <w:rFonts w:ascii="Segoe UI" w:hAnsi="Segoe UI"/>
          <w:b w:val="0"/>
          <w:i w:val="0"/>
          <w:color w:val="1F2937"/>
          <w:sz w:val="19"/>
        </w:rPr>
        <w:t>Real retirees do not follow a rigid, robotic spending path; they adapt. When the market has a bad year, they might skip an expensive trip; when the market booms, they can comfortably afford to spend a bit more.</w:t>
      </w:r>
    </w:p>
    <w:p>
      <w:pPr>
        <w:spacing w:before="40" w:after="80" w:line="276" w:lineRule="auto"/>
      </w:pPr>
      <w:r>
        <w:rPr>
          <w:rFonts w:ascii="Segoe UI" w:hAnsi="Segoe UI"/>
          <w:b w:val="0"/>
          <w:i w:val="0"/>
          <w:color w:val="1F2937"/>
          <w:sz w:val="19"/>
        </w:rPr>
        <w:t xml:space="preserve">Financho allows you to activate </w:t>
      </w:r>
      <w:r>
        <w:rPr>
          <w:rFonts w:ascii="Segoe UI" w:hAnsi="Segoe UI"/>
          <w:b/>
          <w:i w:val="0"/>
          <w:color w:val="1F2937"/>
          <w:sz w:val="19"/>
        </w:rPr>
        <w:t>Dynamic Spending Guardrails</w:t>
      </w:r>
      <w:r>
        <w:rPr>
          <w:rFonts w:ascii="Segoe UI" w:hAnsi="Segoe UI"/>
          <w:b w:val="0"/>
          <w:i w:val="0"/>
          <w:color w:val="1F2937"/>
          <w:sz w:val="19"/>
        </w:rPr>
        <w:t xml:space="preserve"> (based on the empirical research of financial planner William Guyton and William Klinger):</w:t>
      </w:r>
    </w:p>
    <w:tbl>
      <w:tblPr>
        <w:tblW w:type="auto" w:w="0"/>
        <w:jc w:val="center"/>
        <w:tblLook w:firstColumn="1" w:firstRow="1" w:lastColumn="0" w:lastRow="0" w:noHBand="0" w:noVBand="1" w:val="04A0"/>
      </w:tblPr>
      <w:tblGrid>
        <w:gridCol w:w="9360"/>
      </w:tblGrid>
      <w:tr>
        <w:tc>
          <w:tcPr>
            <w:tcW w:type="dxa" w:w="9360"/>
            <w:shd w:fill="F1F5F9"/>
            <w:tcMar>
              <w:top w:w="100" w:type="dxa"/>
              <w:bottom w:w="100" w:type="dxa"/>
              <w:left w:w="150" w:type="dxa"/>
              <w:right w:w="150" w:type="dxa"/>
            </w:tcMar>
          </w:tcPr>
          <w:p>
            <w:pPr>
              <w:spacing w:before="40" w:after="40"/>
            </w:pPr>
            <w:r>
              <w:rPr>
                <w:rFonts w:ascii="Consolas" w:hAnsi="Consolas"/>
                <w:b w:val="0"/>
                <w:i w:val="0"/>
                <w:color w:val="1E293B"/>
                <w:sz w:val="17"/>
              </w:rPr>
              <w:t>How Dynamic Guardrails Work in Practice:</w:t>
              <w:br/>
              <w:t>1. Inflation Freeze Rule:</w:t>
              <w:br/>
              <w:t xml:space="preserve">   If your portfolio suffered a negative return last year, your discretionary budget</w:t>
              <w:br/>
              <w:t xml:space="preserve">   skips its normal inflation increase for the year.</w:t>
              <w:br/>
              <w:br/>
              <w:t>2. Capital Preservation Rule (Spending Cut):</w:t>
              <w:br/>
              <w:t xml:space="preserve">   If a market crash pushes your withdrawal rate 20% higher than your initial target,</w:t>
              <w:br/>
              <w:t xml:space="preserve">   your discretionary spending is trimmed by 10% to protect your capital.</w:t>
              <w:br/>
              <w:br/>
              <w:t>3. Prosperity Rule (Spending Raise):</w:t>
              <w:br/>
              <w:t xml:space="preserve">   If strong market gains drop your withdrawal rate 20% below your target,</w:t>
              <w:br/>
              <w:t xml:space="preserve">   your discretionary spending receives a 10% raise so you can enjoy your wealth.</w:t>
              <w:br/>
              <w:br/>
              <w:t>4. Protected Floor:</w:t>
              <w:br/>
              <w:t xml:space="preserve">   Your essential expenses are NEVER cut, and your discretionary budget will</w:t>
              <w:br/>
              <w:t xml:space="preserve">   never drop below your defined minimum comfort floor.</w:t>
            </w:r>
          </w:p>
        </w:tc>
      </w:tr>
    </w:tbl>
    <w:p>
      <w:pPr>
        <w:spacing w:before="0" w:after="80"/>
      </w:pPr>
    </w:p>
    <w:p>
      <w:pPr>
        <w:keepNext/>
        <w:spacing w:before="240" w:after="80"/>
      </w:pPr>
      <w:r>
        <w:rPr>
          <w:rFonts w:ascii="Segoe UI" w:hAnsi="Segoe UI"/>
          <w:b/>
          <w:i w:val="0"/>
          <w:color w:val="0F172A"/>
          <w:sz w:val="25"/>
        </w:rPr>
        <w:t>The Planning Benefit:</w:t>
      </w:r>
    </w:p>
    <w:p>
      <w:pPr>
        <w:spacing w:before="40" w:after="80" w:line="276" w:lineRule="auto"/>
      </w:pPr>
      <w:r>
        <w:rPr>
          <w:rFonts w:ascii="Segoe UI" w:hAnsi="Segoe UI"/>
          <w:b w:val="0"/>
          <w:i w:val="0"/>
          <w:color w:val="1F2937"/>
          <w:sz w:val="19"/>
        </w:rPr>
        <w:t xml:space="preserve">Enabling dynamic guardrails typically increases your Monte Carlo retirement success probability by </w:t>
      </w:r>
      <w:r>
        <w:rPr>
          <w:rFonts w:ascii="Segoe UI" w:hAnsi="Segoe UI"/>
          <w:b/>
          <w:i w:val="0"/>
          <w:color w:val="1F2937"/>
          <w:sz w:val="19"/>
        </w:rPr>
        <w:t>10% to 15%</w:t>
      </w:r>
      <w:r>
        <w:rPr>
          <w:rFonts w:ascii="Segoe UI" w:hAnsi="Segoe UI"/>
          <w:b w:val="0"/>
          <w:i w:val="0"/>
          <w:color w:val="1F2937"/>
          <w:sz w:val="19"/>
        </w:rPr>
        <w:t>, demonstrating how simple, temporary spending flexibility protects you against prolonged market downturns.</w:t>
      </w:r>
    </w:p>
    <w:p>
      <w:r>
        <w:br w:type="page"/>
      </w:r>
    </w:p>
    <w:p>
      <w:pPr>
        <w:keepNext/>
        <w:spacing w:before="440" w:after="160"/>
      </w:pPr>
      <w:r>
        <w:rPr>
          <w:rFonts w:ascii="Segoe UI" w:hAnsi="Segoe UI"/>
          <w:b/>
          <w:i w:val="0"/>
          <w:color w:val="1E3A8A"/>
          <w:sz w:val="40"/>
        </w:rPr>
        <w:t>CHAPTER 13: Healthcare, Medicare, ACA &amp; Long-Term Care</w:t>
      </w:r>
    </w:p>
    <w:p>
      <w:pPr>
        <w:keepNext/>
        <w:spacing w:before="320" w:after="120"/>
      </w:pPr>
      <w:r>
        <w:rPr>
          <w:rFonts w:ascii="Segoe UI" w:hAnsi="Segoe UI"/>
          <w:b/>
          <w:i w:val="0"/>
          <w:color w:val="2563EB"/>
          <w:sz w:val="30"/>
        </w:rPr>
        <w:t>13.1 Overview</w:t>
      </w:r>
    </w:p>
    <w:p>
      <w:pPr>
        <w:spacing w:before="40" w:after="80" w:line="276" w:lineRule="auto"/>
      </w:pPr>
      <w:r>
        <w:rPr>
          <w:rFonts w:ascii="Segoe UI" w:hAnsi="Segoe UI"/>
          <w:b w:val="0"/>
          <w:i w:val="0"/>
          <w:color w:val="1F2937"/>
          <w:sz w:val="19"/>
        </w:rPr>
        <w:t xml:space="preserve">Healthcare is often a retiree's single largest expense. In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Healthcare</w:t>
      </w:r>
      <w:r>
        <w:rPr>
          <w:rFonts w:ascii="Segoe UI" w:hAnsi="Segoe UI"/>
          <w:b w:val="0"/>
          <w:i w:val="0"/>
          <w:color w:val="1F2937"/>
          <w:sz w:val="19"/>
        </w:rPr>
        <w:t>, Financho provides dedicated modeling for pre-65 coverage, Medicare Part B, income surcharges, and long-term care needs.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13.2 Pre-Medicare Health Insurance (Ages 55 to 64)</w:t>
      </w:r>
    </w:p>
    <w:p>
      <w:pPr>
        <w:spacing w:before="40" w:after="80" w:line="276" w:lineRule="auto"/>
      </w:pPr>
      <w:r>
        <w:rPr>
          <w:rFonts w:ascii="Segoe UI" w:hAnsi="Segoe UI"/>
          <w:b w:val="0"/>
          <w:i w:val="0"/>
          <w:color w:val="1F2937"/>
          <w:sz w:val="19"/>
        </w:rPr>
        <w:t>If you retire before becoming eligible for Medicare at age 65, you need private health coverage:</w:t>
      </w:r>
    </w:p>
    <w:p>
      <w:pPr>
        <w:pStyle w:val="ListBullet"/>
        <w:spacing w:before="20" w:after="40"/>
      </w:pPr>
      <w:r>
        <w:rPr>
          <w:rFonts w:ascii="Segoe UI" w:hAnsi="Segoe UI"/>
          <w:b/>
          <w:i w:val="0"/>
          <w:color w:val="1F2937"/>
          <w:sz w:val="19"/>
        </w:rPr>
        <w:t>ZIP Code Benchmark Lookup</w:t>
      </w:r>
      <w:r>
        <w:rPr>
          <w:rFonts w:ascii="Segoe UI" w:hAnsi="Segoe UI"/>
          <w:b w:val="0"/>
          <w:i w:val="0"/>
          <w:color w:val="1F2937"/>
          <w:sz w:val="19"/>
        </w:rPr>
        <w:t xml:space="preserve">: Enter your residential ZIP code and click </w:t>
      </w:r>
      <w:r>
        <w:rPr>
          <w:rFonts w:ascii="Segoe UI" w:hAnsi="Segoe UI"/>
          <w:b/>
          <w:i w:val="0"/>
          <w:color w:val="1F2937"/>
          <w:sz w:val="19"/>
        </w:rPr>
        <w:t>Look up my premium</w:t>
      </w:r>
      <w:r>
        <w:rPr>
          <w:rFonts w:ascii="Segoe UI" w:hAnsi="Segoe UI"/>
          <w:b w:val="0"/>
          <w:i w:val="0"/>
          <w:color w:val="1F2937"/>
          <w:sz w:val="19"/>
        </w:rPr>
        <w:t>. Financho queries official health marketplace data to find the local benchmark silver plan premium in your area. If you live in a state that runs its own exchange (such as Covered California or NY State of Health), Financho directs you to that state's official portal and lets you enter your benchmark premium manually.</w:t>
      </w:r>
    </w:p>
    <w:p>
      <w:pPr>
        <w:pStyle w:val="ListBullet"/>
        <w:spacing w:before="20" w:after="40"/>
      </w:pPr>
      <w:r>
        <w:rPr>
          <w:rFonts w:ascii="Segoe UI" w:hAnsi="Segoe UI"/>
          <w:b/>
          <w:i w:val="0"/>
          <w:color w:val="1F2937"/>
          <w:sz w:val="19"/>
        </w:rPr>
        <w:t>Income-Based Subsidies (Premium Tax Credits)</w:t>
      </w:r>
      <w:r>
        <w:rPr>
          <w:rFonts w:ascii="Segoe UI" w:hAnsi="Segoe UI"/>
          <w:b w:val="0"/>
          <w:i w:val="0"/>
          <w:color w:val="1F2937"/>
          <w:sz w:val="19"/>
        </w:rPr>
        <w:t>: Under the Affordable Care Act (ACA), your premium may be substantially discounted if your Modified Adjusted Gross Income (MAGI) falls within federal subsidy limits.</w:t>
      </w:r>
    </w:p>
    <w:p>
      <w:pPr>
        <w:pStyle w:val="ListBullet"/>
        <w:spacing w:before="20" w:after="40"/>
      </w:pPr>
      <w:r>
        <w:rPr>
          <w:rFonts w:ascii="Segoe UI" w:hAnsi="Segoe UI"/>
          <w:b/>
          <w:i w:val="0"/>
          <w:color w:val="1F2937"/>
          <w:sz w:val="19"/>
        </w:rPr>
        <w:t>Financho's Tax Strategy</w:t>
      </w:r>
      <w:r>
        <w:rPr>
          <w:rFonts w:ascii="Segoe UI" w:hAnsi="Segoe UI"/>
          <w:b w:val="0"/>
          <w:i w:val="0"/>
          <w:color w:val="1F2937"/>
          <w:sz w:val="19"/>
        </w:rPr>
        <w:t>: Because ACA subsidies depend on your reported taxable income, using tax-free Roth withdrawals or cash reserves during early retirement can keep your reported income low, unlocking thousands of dollars in annual health insurance tax credits!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13.3 Medicare Part B &amp; Supplemental Coverage (Age 65+)</w:t>
      </w:r>
    </w:p>
    <w:p>
      <w:pPr>
        <w:pStyle w:val="ListBullet"/>
        <w:spacing w:before="20" w:after="40"/>
      </w:pPr>
      <w:r>
        <w:rPr>
          <w:rFonts w:ascii="Segoe UI" w:hAnsi="Segoe UI"/>
          <w:b/>
          <w:i w:val="0"/>
          <w:color w:val="1F2937"/>
          <w:sz w:val="19"/>
        </w:rPr>
        <w:t>Standard Base Premium</w:t>
      </w:r>
      <w:r>
        <w:rPr>
          <w:rFonts w:ascii="Segoe UI" w:hAnsi="Segoe UI"/>
          <w:b w:val="0"/>
          <w:i w:val="0"/>
          <w:color w:val="1F2937"/>
          <w:sz w:val="19"/>
        </w:rPr>
        <w:t xml:space="preserve">: For 2026, the standard Medicare Part B premium is </w:t>
      </w:r>
      <w:r>
        <w:rPr>
          <w:rFonts w:ascii="Segoe UI" w:hAnsi="Segoe UI"/>
          <w:b/>
          <w:i w:val="0"/>
          <w:color w:val="1F2937"/>
          <w:sz w:val="19"/>
        </w:rPr>
        <w:t>$202.90 per month</w:t>
      </w:r>
      <w:r>
        <w:rPr>
          <w:rFonts w:ascii="Segoe UI" w:hAnsi="Segoe UI"/>
          <w:b w:val="0"/>
          <w:i w:val="0"/>
          <w:color w:val="1F2937"/>
          <w:sz w:val="19"/>
        </w:rPr>
        <w:t xml:space="preserve"> ($2,434.80/year) per person.</w:t>
      </w:r>
    </w:p>
    <w:p>
      <w:pPr>
        <w:pStyle w:val="ListBullet"/>
        <w:spacing w:before="20" w:after="40"/>
      </w:pPr>
      <w:r>
        <w:rPr>
          <w:rFonts w:ascii="Segoe UI" w:hAnsi="Segoe UI"/>
          <w:b/>
          <w:i w:val="0"/>
          <w:color w:val="1F2937"/>
          <w:sz w:val="19"/>
        </w:rPr>
        <w:t>Automatic Enrollment</w:t>
      </w:r>
      <w:r>
        <w:rPr>
          <w:rFonts w:ascii="Segoe UI" w:hAnsi="Segoe UI"/>
          <w:b w:val="0"/>
          <w:i w:val="0"/>
          <w:color w:val="1F2937"/>
          <w:sz w:val="19"/>
        </w:rPr>
        <w:t>: Financho automatically adds Medicare Part B at age 65 for each spouse. This is a checkbox you can turn off if you'll have other creditable coverage at 65.</w:t>
      </w:r>
    </w:p>
    <w:p>
      <w:pPr>
        <w:pStyle w:val="ListBullet"/>
        <w:spacing w:before="20" w:after="40"/>
      </w:pPr>
      <w:r>
        <w:rPr>
          <w:rFonts w:ascii="Segoe UI" w:hAnsi="Segoe UI"/>
          <w:b/>
          <w:i w:val="0"/>
          <w:color w:val="1F2937"/>
          <w:sz w:val="19"/>
        </w:rPr>
        <w:t>Supplemental Insurance (Medigap &amp; Part D)</w:t>
      </w:r>
      <w:r>
        <w:rPr>
          <w:rFonts w:ascii="Segoe UI" w:hAnsi="Segoe UI"/>
          <w:b w:val="0"/>
          <w:i w:val="0"/>
          <w:color w:val="1F2937"/>
          <w:sz w:val="19"/>
        </w:rPr>
        <w:t>: You can enter additional monthly amounts to model comprehensive supplemental coverage and prescription drug plans.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13.4 Medicare IRMAA Surcharges (The High-Income Cliff)</w:t>
      </w:r>
    </w:p>
    <w:p>
      <w:pPr>
        <w:spacing w:before="40" w:after="80" w:line="276" w:lineRule="auto"/>
      </w:pPr>
      <w:r>
        <w:rPr>
          <w:rFonts w:ascii="Segoe UI" w:hAnsi="Segoe UI"/>
          <w:b w:val="0"/>
          <w:i w:val="0"/>
          <w:color w:val="1F2937"/>
          <w:sz w:val="19"/>
        </w:rPr>
        <w:t xml:space="preserve">If your Modified Adjusted Gross Income exceeds federal thresholds, Medicare assesses an additional </w:t>
      </w:r>
      <w:r>
        <w:rPr>
          <w:rFonts w:ascii="Segoe UI" w:hAnsi="Segoe UI"/>
          <w:b/>
          <w:i w:val="0"/>
          <w:color w:val="1F2937"/>
          <w:sz w:val="19"/>
        </w:rPr>
        <w:t>Income-Related Monthly Adjustment Amount (IRMAA)</w:t>
      </w:r>
      <w:r>
        <w:rPr>
          <w:rFonts w:ascii="Segoe UI" w:hAnsi="Segoe UI"/>
          <w:b w:val="0"/>
          <w:i w:val="0"/>
          <w:color w:val="1F2937"/>
          <w:sz w:val="19"/>
        </w:rPr>
        <w:t xml:space="preserve"> surcharge on your Part B and Part D premiums:</w:t>
      </w:r>
    </w:p>
    <w:p>
      <w:pPr>
        <w:pStyle w:val="ListBullet"/>
        <w:spacing w:before="20" w:after="40"/>
      </w:pPr>
      <w:r>
        <w:rPr>
          <w:rFonts w:ascii="Segoe UI" w:hAnsi="Segoe UI"/>
          <w:b/>
          <w:i w:val="0"/>
          <w:color w:val="1F2937"/>
          <w:sz w:val="19"/>
        </w:rPr>
        <w:t>2-Year Lookback</w:t>
      </w:r>
      <w:r>
        <w:rPr>
          <w:rFonts w:ascii="Segoe UI" w:hAnsi="Segoe UI"/>
          <w:b w:val="0"/>
          <w:i w:val="0"/>
          <w:color w:val="1F2937"/>
          <w:sz w:val="19"/>
        </w:rPr>
        <w:t>: Medicare looks at your tax return from two years prior (for example, your 2026 Medicare premiums are determined by your 2024 income).</w:t>
      </w:r>
    </w:p>
    <w:p>
      <w:pPr>
        <w:pStyle w:val="ListBullet"/>
        <w:spacing w:before="20" w:after="40"/>
      </w:pPr>
      <w:r>
        <w:rPr>
          <w:rFonts w:ascii="Segoe UI" w:hAnsi="Segoe UI"/>
          <w:b/>
          <w:i w:val="0"/>
          <w:color w:val="1F2937"/>
          <w:sz w:val="19"/>
        </w:rPr>
        <w:t>2026 Surcharge Tiers</w:t>
      </w:r>
      <w:r>
        <w:rPr>
          <w:rFonts w:ascii="Segoe UI" w:hAnsi="Segoe UI"/>
          <w:b w:val="0"/>
          <w:i w:val="0"/>
          <w:color w:val="1F2937"/>
          <w:sz w:val="19"/>
        </w:rPr>
        <w:t>:</w:t>
      </w:r>
    </w:p>
    <w:p>
      <w:pPr>
        <w:pStyle w:val="ListBullet"/>
        <w:spacing w:before="20" w:after="40"/>
      </w:pPr>
      <w:r>
        <w:rPr>
          <w:rFonts w:ascii="Segoe UI" w:hAnsi="Segoe UI"/>
          <w:b w:val="0"/>
          <w:i w:val="0"/>
          <w:color w:val="1F2937"/>
          <w:sz w:val="19"/>
        </w:rPr>
        <w:t xml:space="preserve">Single filers with income over </w:t>
      </w:r>
      <w:r>
        <w:rPr>
          <w:rFonts w:ascii="Cambria Math" w:hAnsi="Cambria Math"/>
          <w:b w:val="0"/>
          <w:i/>
          <w:color w:val="4F46E5"/>
          <w:sz w:val="19"/>
        </w:rPr>
        <w:t xml:space="preserve">109,000 / Joint filers over </w:t>
      </w:r>
      <w:r>
        <w:rPr>
          <w:rFonts w:ascii="Segoe UI" w:hAnsi="Segoe UI"/>
          <w:b w:val="0"/>
          <w:i w:val="0"/>
          <w:color w:val="1F2937"/>
          <w:sz w:val="19"/>
        </w:rPr>
        <w:t>218,000 pay an extra $81.20/month per person.</w:t>
      </w:r>
    </w:p>
    <w:p>
      <w:pPr>
        <w:pStyle w:val="ListBullet"/>
        <w:spacing w:before="20" w:after="40"/>
      </w:pPr>
      <w:r>
        <w:rPr>
          <w:rFonts w:ascii="Segoe UI" w:hAnsi="Segoe UI"/>
          <w:b w:val="0"/>
          <w:i w:val="0"/>
          <w:color w:val="1F2937"/>
          <w:sz w:val="19"/>
        </w:rPr>
        <w:t>Surcharges escalate up to an extra $487.00/month per person for high earners.</w:t>
      </w:r>
    </w:p>
    <w:p>
      <w:pPr>
        <w:pStyle w:val="ListBullet"/>
        <w:spacing w:before="20" w:after="40"/>
      </w:pPr>
      <w:r>
        <w:rPr>
          <w:rFonts w:ascii="Segoe UI" w:hAnsi="Segoe UI"/>
          <w:b/>
          <w:i w:val="0"/>
          <w:color w:val="1F2937"/>
          <w:sz w:val="19"/>
        </w:rPr>
        <w:t>Financho's Warning</w:t>
      </w:r>
      <w:r>
        <w:rPr>
          <w:rFonts w:ascii="Segoe UI" w:hAnsi="Segoe UI"/>
          <w:b w:val="0"/>
          <w:i w:val="0"/>
          <w:color w:val="1F2937"/>
          <w:sz w:val="19"/>
        </w:rPr>
        <w:t>: Financho alerts you when a planned IRA withdrawal, capital gain, or Roth conversion will push you over an IRMAA cliff, helping you avoid costly unexpected surcharges.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13.5 Long-Term Care (LTC) Shock Modeling</w:t>
      </w:r>
    </w:p>
    <w:p>
      <w:pPr>
        <w:pStyle w:val="ListBullet"/>
        <w:spacing w:before="20" w:after="40"/>
      </w:pPr>
      <w:r>
        <w:rPr>
          <w:rFonts w:ascii="Segoe UI" w:hAnsi="Segoe UI"/>
          <w:b w:val="0"/>
          <w:i w:val="0"/>
          <w:color w:val="1F2937"/>
          <w:sz w:val="19"/>
        </w:rPr>
        <w:t xml:space="preserve">Model the potential cost of skilled nursing care or home health assistance (e.g., </w:t>
      </w:r>
      <w:r>
        <w:rPr>
          <w:rFonts w:ascii="Cambria Math" w:hAnsi="Cambria Math"/>
          <w:b w:val="0"/>
          <w:i/>
          <w:color w:val="4F46E5"/>
          <w:sz w:val="19"/>
        </w:rPr>
        <w:t xml:space="preserve">8,000 to </w:t>
      </w:r>
      <w:r>
        <w:rPr>
          <w:rFonts w:ascii="Segoe UI" w:hAnsi="Segoe UI"/>
          <w:b w:val="0"/>
          <w:i w:val="0"/>
          <w:color w:val="1F2937"/>
          <w:sz w:val="19"/>
        </w:rPr>
        <w:t>10,000 per month).</w:t>
      </w:r>
    </w:p>
    <w:p>
      <w:pPr>
        <w:pStyle w:val="ListBullet"/>
        <w:spacing w:before="20" w:after="40"/>
      </w:pPr>
      <w:r>
        <w:rPr>
          <w:rFonts w:ascii="Segoe UI" w:hAnsi="Segoe UI"/>
          <w:b w:val="0"/>
          <w:i w:val="0"/>
          <w:color w:val="1F2937"/>
          <w:sz w:val="19"/>
        </w:rPr>
        <w:t>Enter the anticipated start age (e.g., age 82) and planned duration (e.g., 3 years).</w:t>
      </w:r>
    </w:p>
    <w:p>
      <w:pPr>
        <w:pStyle w:val="ListBullet"/>
        <w:spacing w:before="20" w:after="40"/>
      </w:pPr>
      <w:r>
        <w:rPr>
          <w:rFonts w:ascii="Segoe UI" w:hAnsi="Segoe UI"/>
          <w:b w:val="0"/>
          <w:i w:val="0"/>
          <w:color w:val="1F2937"/>
          <w:sz w:val="19"/>
        </w:rPr>
        <w:t>Financho models this as a protected essential healthcare expense indexed to medical inflation, stress-testing whether your portfolio can withstand a late-life health event.</w:t>
      </w:r>
    </w:p>
    <w:p>
      <w:r>
        <w:br w:type="page"/>
      </w:r>
    </w:p>
    <w:p>
      <w:pPr>
        <w:keepNext/>
        <w:spacing w:before="440" w:after="160"/>
      </w:pPr>
      <w:r>
        <w:rPr>
          <w:rFonts w:ascii="Segoe UI" w:hAnsi="Segoe UI"/>
          <w:b/>
          <w:i w:val="0"/>
          <w:color w:val="1E3A8A"/>
          <w:sz w:val="40"/>
        </w:rPr>
        <w:t>CHAPTER 14: Real Estate &amp; Home Equity</w:t>
      </w:r>
    </w:p>
    <w:p>
      <w:pPr>
        <w:keepNext/>
        <w:spacing w:before="320" w:after="120"/>
      </w:pPr>
      <w:r>
        <w:rPr>
          <w:rFonts w:ascii="Segoe UI" w:hAnsi="Segoe UI"/>
          <w:b/>
          <w:i w:val="0"/>
          <w:color w:val="2563EB"/>
          <w:sz w:val="30"/>
        </w:rPr>
        <w:t>14.1 Tracking Real Estate Assets</w:t>
      </w:r>
    </w:p>
    <w:p>
      <w:pPr>
        <w:spacing w:before="40" w:after="80" w:line="276" w:lineRule="auto"/>
      </w:pPr>
      <w:r>
        <w:rPr>
          <w:rFonts w:ascii="Segoe UI" w:hAnsi="Segoe UI"/>
          <w:b w:val="0"/>
          <w:i w:val="0"/>
          <w:color w:val="1F2937"/>
          <w:sz w:val="19"/>
        </w:rPr>
        <w:t xml:space="preserve">In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Real Estate</w:t>
      </w:r>
      <w:r>
        <w:rPr>
          <w:rFonts w:ascii="Segoe UI" w:hAnsi="Segoe UI"/>
          <w:b w:val="0"/>
          <w:i w:val="0"/>
          <w:color w:val="1F2937"/>
          <w:sz w:val="19"/>
        </w:rPr>
        <w:t>, you can track primary residences, vacation homes, and rental investment properties.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14.2 County-Level Home Price Appreciation Analytics</w:t>
      </w:r>
    </w:p>
    <w:p>
      <w:pPr>
        <w:spacing w:before="40" w:after="80" w:line="276" w:lineRule="auto"/>
      </w:pPr>
      <w:r>
        <w:rPr>
          <w:rFonts w:ascii="Segoe UI" w:hAnsi="Segoe UI"/>
          <w:b w:val="0"/>
          <w:i w:val="0"/>
          <w:color w:val="1F2937"/>
          <w:sz w:val="19"/>
        </w:rPr>
        <w:t>Financho includes built-in regional home price appreciation analytics:</w:t>
      </w:r>
    </w:p>
    <w:p>
      <w:pPr>
        <w:pStyle w:val="ListBullet"/>
        <w:spacing w:before="20" w:after="40"/>
      </w:pPr>
      <w:r>
        <w:rPr>
          <w:rFonts w:ascii="Segoe UI" w:hAnsi="Segoe UI"/>
          <w:b w:val="0"/>
          <w:i w:val="0"/>
          <w:color w:val="1F2937"/>
          <w:sz w:val="19"/>
        </w:rPr>
        <w:t xml:space="preserve">Select your </w:t>
      </w:r>
      <w:r>
        <w:rPr>
          <w:rFonts w:ascii="Segoe UI" w:hAnsi="Segoe UI"/>
          <w:b/>
          <w:i w:val="0"/>
          <w:color w:val="1F2937"/>
          <w:sz w:val="19"/>
        </w:rPr>
        <w:t>State</w:t>
      </w:r>
      <w:r>
        <w:rPr>
          <w:rFonts w:ascii="Segoe UI" w:hAnsi="Segoe UI"/>
          <w:b w:val="0"/>
          <w:i w:val="0"/>
          <w:color w:val="1F2937"/>
          <w:sz w:val="19"/>
        </w:rPr>
        <w:t xml:space="preserve"> and </w:t>
      </w:r>
      <w:r>
        <w:rPr>
          <w:rFonts w:ascii="Segoe UI" w:hAnsi="Segoe UI"/>
          <w:b/>
          <w:i w:val="0"/>
          <w:color w:val="1F2937"/>
          <w:sz w:val="19"/>
        </w:rPr>
        <w:t>County</w:t>
      </w:r>
      <w:r>
        <w:rPr>
          <w:rFonts w:ascii="Segoe UI" w:hAnsi="Segoe UI"/>
          <w:b w:val="0"/>
          <w:i w:val="0"/>
          <w:color w:val="1F2937"/>
          <w:sz w:val="19"/>
        </w:rPr>
        <w:t>.</w:t>
      </w:r>
    </w:p>
    <w:p>
      <w:pPr>
        <w:pStyle w:val="ListBullet"/>
        <w:spacing w:before="20" w:after="40"/>
      </w:pPr>
      <w:r>
        <w:rPr>
          <w:rFonts w:ascii="Segoe UI" w:hAnsi="Segoe UI"/>
          <w:b w:val="0"/>
          <w:i w:val="0"/>
          <w:color w:val="1F2937"/>
          <w:sz w:val="19"/>
        </w:rPr>
        <w:t xml:space="preserve">Click </w:t>
      </w:r>
      <w:r>
        <w:rPr>
          <w:rFonts w:ascii="Segoe UI" w:hAnsi="Segoe UI"/>
          <w:b/>
          <w:i w:val="0"/>
          <w:color w:val="1F2937"/>
          <w:sz w:val="19"/>
        </w:rPr>
        <w:t>Lookup Rate</w:t>
      </w:r>
      <w:r>
        <w:rPr>
          <w:rFonts w:ascii="Segoe UI" w:hAnsi="Segoe UI"/>
          <w:b w:val="0"/>
          <w:i w:val="0"/>
          <w:color w:val="1F2937"/>
          <w:sz w:val="19"/>
        </w:rPr>
        <w:t>. Financho references historical Federal Housing Finance Agency (FHFA) home price trends for your specific county over the past decade.</w:t>
      </w:r>
    </w:p>
    <w:p>
      <w:pPr>
        <w:pStyle w:val="ListBullet"/>
        <w:spacing w:before="20" w:after="40"/>
      </w:pPr>
      <w:r>
        <w:rPr>
          <w:rFonts w:ascii="Segoe UI" w:hAnsi="Segoe UI"/>
          <w:b w:val="0"/>
          <w:i w:val="0"/>
          <w:color w:val="1F2937"/>
          <w:sz w:val="19"/>
        </w:rPr>
        <w:t>To prevent short-term housing bubbles from distorting a 30-year retirement plan, Financho balances local trends with long-term national averages to establish a reliable, sustainable appreciation rate (typically 3.5% to 5.0%).</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14.3 Mortgage Debt Linking &amp; Equity Buildup</w:t>
      </w:r>
    </w:p>
    <w:p>
      <w:pPr>
        <w:pStyle w:val="ListBullet"/>
        <w:spacing w:before="20" w:after="40"/>
      </w:pPr>
      <w:r>
        <w:rPr>
          <w:rFonts w:ascii="Segoe UI" w:hAnsi="Segoe UI"/>
          <w:b w:val="0"/>
          <w:i w:val="0"/>
          <w:color w:val="1F2937"/>
          <w:sz w:val="19"/>
        </w:rPr>
        <w:t xml:space="preserve">When you link a mortgage from </w:t>
      </w:r>
      <w:r>
        <w:rPr>
          <w:rFonts w:ascii="Segoe UI" w:hAnsi="Segoe UI"/>
          <w:b/>
          <w:i w:val="0"/>
          <w:color w:val="1F2937"/>
          <w:sz w:val="19"/>
        </w:rPr>
        <w:t>Plan</w:t>
      </w:r>
      <w:r>
        <w:rPr>
          <w:rFonts w:ascii="Segoe UI" w:hAnsi="Segoe UI"/>
          <w:b w:val="0"/>
          <w:i w:val="0"/>
          <w:color w:val="1F2937"/>
          <w:sz w:val="19"/>
        </w:rPr>
        <w:t xml:space="preserve"> → </w:t>
      </w:r>
      <w:r>
        <w:rPr>
          <w:rFonts w:ascii="Segoe UI" w:hAnsi="Segoe UI"/>
          <w:b/>
          <w:i w:val="0"/>
          <w:color w:val="1F2937"/>
          <w:sz w:val="19"/>
        </w:rPr>
        <w:t>Debts</w:t>
      </w:r>
      <w:r>
        <w:rPr>
          <w:rFonts w:ascii="Segoe UI" w:hAnsi="Segoe UI"/>
          <w:b w:val="0"/>
          <w:i w:val="0"/>
          <w:color w:val="1F2937"/>
          <w:sz w:val="19"/>
        </w:rPr>
        <w:t xml:space="preserve"> to a real estate property, Financho tracks your home equity year-by-year: your property value (growing at your chosen appreciation rate) minus your remaining mortgage balance (shrinking as you pay it down).</w:t>
      </w:r>
    </w:p>
    <w:p>
      <w:pPr>
        <w:pStyle w:val="ListBullet"/>
        <w:spacing w:before="20" w:after="40"/>
      </w:pPr>
      <w:r>
        <w:rPr>
          <w:rFonts w:ascii="Segoe UI" w:hAnsi="Segoe UI"/>
          <w:b w:val="0"/>
          <w:i w:val="0"/>
          <w:color w:val="1F2937"/>
          <w:sz w:val="19"/>
        </w:rPr>
        <w:t>You can see your equity grow over time as your property appreciates and your mortgage balance amortizes.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14.4 Modeling Home Sales &amp; Downsizing in Retirement</w:t>
      </w:r>
    </w:p>
    <w:p>
      <w:pPr>
        <w:spacing w:before="40" w:after="80" w:line="276" w:lineRule="auto"/>
      </w:pPr>
      <w:r>
        <w:rPr>
          <w:rFonts w:ascii="Segoe UI" w:hAnsi="Segoe UI"/>
          <w:b w:val="0"/>
          <w:i w:val="0"/>
          <w:color w:val="1F2937"/>
          <w:sz w:val="19"/>
        </w:rPr>
        <w:t>Many retirees plan to downsize in their 70s or relocate to a lower-cost area. You can model selling your home at a future date: the remaining mortgage is paid off, and the net sale proceeds are deposited into your cash or investment accounts. Ongoing property taxes, insurance, and mortgage payments cease immediately, accurately reflecting your new lower living costs.</w:t>
      </w:r>
    </w:p>
    <w:tbl>
      <w:tblPr>
        <w:tblW w:type="auto" w:w="0"/>
        <w:jc w:val="center"/>
        <w:tblLook w:firstColumn="1" w:firstRow="1" w:lastColumn="0" w:lastRow="0" w:noHBand="0" w:noVBand="1" w:val="04A0"/>
      </w:tblPr>
      <w:tblGrid>
        <w:gridCol w:w="9360"/>
      </w:tblGrid>
      <w:tr>
        <w:tc>
          <w:tcPr>
            <w:tcW w:type="dxa" w:w="9360"/>
            <w:shd w:fill="ECFDF5"/>
            <w:tcBorders>
              <w:left w:val="single" w:sz="36" w:space="0" w:color="059669"/>
              <w:top w:val="nil"/>
              <w:bottom w:val="nil"/>
              <w:right w:val="nil"/>
            </w:tcBorders>
            <w:tcMar>
              <w:top w:w="90" w:type="dxa"/>
              <w:bottom w:w="90" w:type="dxa"/>
              <w:left w:w="140" w:type="dxa"/>
              <w:right w:w="120" w:type="dxa"/>
            </w:tcMar>
          </w:tcPr>
          <w:p>
            <w:pPr>
              <w:spacing w:before="40" w:after="40"/>
            </w:pPr>
            <w:r>
              <w:rPr>
                <w:rFonts w:ascii="Segoe UI" w:hAnsi="Segoe UI"/>
                <w:b w:val="0"/>
                <w:i w:val="0"/>
                <w:color w:val="1F2937"/>
                <w:sz w:val="19"/>
              </w:rPr>
              <w:t xml:space="preserve">[!TIP] Financho does not automatically calculate the federal capital gains exclusion on a primary home sale (up to </w:t>
            </w:r>
            <w:r>
              <w:rPr>
                <w:rFonts w:ascii="Cambria Math" w:hAnsi="Cambria Math"/>
                <w:b w:val="0"/>
                <w:i/>
                <w:color w:val="4F46E5"/>
                <w:sz w:val="19"/>
              </w:rPr>
              <w:t xml:space="preserve">250,000 for single filers or </w:t>
            </w:r>
            <w:r>
              <w:rPr>
                <w:rFonts w:ascii="Segoe UI" w:hAnsi="Segoe UI"/>
                <w:b w:val="0"/>
                <w:i w:val="0"/>
                <w:color w:val="1F2937"/>
                <w:sz w:val="19"/>
              </w:rPr>
              <w:t>500,000 for married couples under current tax law). If your home has significant unrealized appreciation, factor that exclusion in yourself when estimating your net sale proceeds, or consult a tax professional.</w:t>
            </w:r>
          </w:p>
        </w:tc>
      </w:tr>
    </w:tbl>
    <w:p>
      <w:pPr>
        <w:spacing w:before="0" w:after="80"/>
      </w:pPr>
    </w:p>
    <w:p>
      <w:r>
        <w:br w:type="page"/>
      </w:r>
    </w:p>
    <w:p>
      <w:pPr>
        <w:keepNext/>
        <w:spacing w:before="440" w:after="160"/>
      </w:pPr>
      <w:r>
        <w:rPr>
          <w:rFonts w:ascii="Segoe UI" w:hAnsi="Segoe UI"/>
          <w:b/>
          <w:i w:val="0"/>
          <w:color w:val="1E3A8A"/>
          <w:sz w:val="40"/>
        </w:rPr>
        <w:t>CHAPTER 15: What-If Scenarios &amp; Decision Sandboxes</w:t>
      </w:r>
    </w:p>
    <w:p>
      <w:pPr>
        <w:keepNext/>
        <w:spacing w:before="320" w:after="120"/>
      </w:pPr>
      <w:r>
        <w:rPr>
          <w:rFonts w:ascii="Segoe UI" w:hAnsi="Segoe UI"/>
          <w:b/>
          <w:i w:val="0"/>
          <w:color w:val="2563EB"/>
          <w:sz w:val="30"/>
        </w:rPr>
        <w:t>15.1 Overview</w:t>
      </w:r>
    </w:p>
    <w:p>
      <w:pPr>
        <w:spacing w:before="40" w:after="80" w:line="276" w:lineRule="auto"/>
      </w:pPr>
      <w:r>
        <w:rPr>
          <w:rFonts w:ascii="Segoe UI" w:hAnsi="Segoe UI"/>
          <w:b w:val="0"/>
          <w:i w:val="0"/>
          <w:color w:val="1F2937"/>
          <w:sz w:val="19"/>
        </w:rPr>
        <w:t xml:space="preserve">Life rarely follows a single linear path. In </w:t>
      </w:r>
      <w:r>
        <w:rPr>
          <w:rFonts w:ascii="Segoe UI" w:hAnsi="Segoe UI"/>
          <w:b/>
          <w:i w:val="0"/>
          <w:color w:val="1F2937"/>
          <w:sz w:val="19"/>
        </w:rPr>
        <w:t>Plan</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Scenarios</w:t>
      </w:r>
      <w:r>
        <w:rPr>
          <w:rFonts w:ascii="Segoe UI" w:hAnsi="Segoe UI"/>
          <w:b w:val="0"/>
          <w:i w:val="0"/>
          <w:color w:val="1F2937"/>
          <w:sz w:val="19"/>
        </w:rPr>
        <w:t xml:space="preserve">, Financho lets you create, test, and compare up to </w:t>
      </w:r>
      <w:r>
        <w:rPr>
          <w:rFonts w:ascii="Segoe UI" w:hAnsi="Segoe UI"/>
          <w:b/>
          <w:i w:val="0"/>
          <w:color w:val="1F2937"/>
          <w:sz w:val="19"/>
        </w:rPr>
        <w:t>5 distinct what-if scenarios</w:t>
      </w:r>
      <w:r>
        <w:rPr>
          <w:rFonts w:ascii="Segoe UI" w:hAnsi="Segoe UI"/>
          <w:b w:val="0"/>
          <w:i w:val="0"/>
          <w:color w:val="1F2937"/>
          <w:sz w:val="19"/>
        </w:rPr>
        <w:t xml:space="preserve"> alongside your Base Plan.</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15.2 Common Scenarios to Explore</w:t>
      </w:r>
    </w:p>
    <w:p>
      <w:pPr>
        <w:pStyle w:val="ListBullet"/>
        <w:spacing w:before="20" w:after="40"/>
      </w:pPr>
      <w:r>
        <w:rPr>
          <w:rFonts w:ascii="Segoe UI" w:hAnsi="Segoe UI"/>
          <w:b/>
          <w:i w:val="0"/>
          <w:color w:val="1F2937"/>
          <w:sz w:val="19"/>
        </w:rPr>
        <w:t>"Retire at 60" vs. "Retire at 65"</w:t>
      </w:r>
      <w:r>
        <w:rPr>
          <w:rFonts w:ascii="Segoe UI" w:hAnsi="Segoe UI"/>
          <w:b w:val="0"/>
          <w:i w:val="0"/>
          <w:color w:val="1F2937"/>
          <w:sz w:val="19"/>
        </w:rPr>
        <w:t>: See the impact of leaving the workforce five years earlier on your savings, taxes, and Monte Carlo success.</w:t>
      </w:r>
    </w:p>
    <w:p>
      <w:pPr>
        <w:pStyle w:val="ListBullet"/>
        <w:spacing w:before="20" w:after="40"/>
      </w:pPr>
      <w:r>
        <w:rPr>
          <w:rFonts w:ascii="Segoe UI" w:hAnsi="Segoe UI"/>
          <w:b/>
          <w:i w:val="0"/>
          <w:color w:val="1F2937"/>
          <w:sz w:val="19"/>
        </w:rPr>
        <w:t>"Relocate to Florida / Texas"</w:t>
      </w:r>
      <w:r>
        <w:rPr>
          <w:rFonts w:ascii="Segoe UI" w:hAnsi="Segoe UI"/>
          <w:b w:val="0"/>
          <w:i w:val="0"/>
          <w:color w:val="1F2937"/>
          <w:sz w:val="19"/>
        </w:rPr>
        <w:t>: Model moving from a high-tax state (like California or New York) to a zero-income-tax state and see how much you save in lifetime taxes.</w:t>
      </w:r>
    </w:p>
    <w:p>
      <w:pPr>
        <w:pStyle w:val="ListBullet"/>
        <w:spacing w:before="20" w:after="40"/>
      </w:pPr>
      <w:r>
        <w:rPr>
          <w:rFonts w:ascii="Segoe UI" w:hAnsi="Segoe UI"/>
          <w:b/>
          <w:i w:val="0"/>
          <w:color w:val="1F2937"/>
          <w:sz w:val="19"/>
        </w:rPr>
        <w:t>"Downsize at Age 72"</w:t>
      </w:r>
      <w:r>
        <w:rPr>
          <w:rFonts w:ascii="Segoe UI" w:hAnsi="Segoe UI"/>
          <w:b w:val="0"/>
          <w:i w:val="0"/>
          <w:color w:val="1F2937"/>
          <w:sz w:val="19"/>
        </w:rPr>
        <w:t>: Test selling your family home, paying off your mortgage, and renting or moving into a smaller condo.</w:t>
      </w:r>
    </w:p>
    <w:p>
      <w:pPr>
        <w:pStyle w:val="ListBullet"/>
        <w:spacing w:before="20" w:after="40"/>
      </w:pPr>
      <w:r>
        <w:rPr>
          <w:rFonts w:ascii="Segoe UI" w:hAnsi="Segoe UI"/>
          <w:b/>
          <w:i w:val="0"/>
          <w:color w:val="1F2937"/>
          <w:sz w:val="19"/>
        </w:rPr>
        <w:t>"Major Travel Surge"</w:t>
      </w:r>
      <w:r>
        <w:rPr>
          <w:rFonts w:ascii="Segoe UI" w:hAnsi="Segoe UI"/>
          <w:b w:val="0"/>
          <w:i w:val="0"/>
          <w:color w:val="1F2937"/>
          <w:sz w:val="19"/>
        </w:rPr>
        <w:t>: Test spending an extra $20,000 per year on international travel during your first 10 years of retirement.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15.3 How the Scenario Sandbox Works</w:t>
      </w:r>
    </w:p>
    <w:p>
      <w:pPr>
        <w:pStyle w:val="ListNumber"/>
        <w:spacing w:before="20" w:after="40"/>
      </w:pPr>
      <w:r>
        <w:rPr>
          <w:rFonts w:ascii="Segoe UI" w:hAnsi="Segoe UI"/>
          <w:b/>
          <w:i w:val="0"/>
          <w:color w:val="1F2937"/>
          <w:sz w:val="19"/>
        </w:rPr>
        <w:t>Create a Scenario</w:t>
      </w:r>
      <w:r>
        <w:rPr>
          <w:rFonts w:ascii="Segoe UI" w:hAnsi="Segoe UI"/>
          <w:b w:val="0"/>
          <w:i w:val="0"/>
          <w:color w:val="1F2937"/>
          <w:sz w:val="19"/>
        </w:rPr>
        <w:t xml:space="preserve">: On the Scenarios page, enter a name (e.g., </w:t>
      </w:r>
      <w:r>
        <w:rPr>
          <w:rFonts w:ascii="Consolas" w:hAnsi="Consolas"/>
          <w:b w:val="0"/>
          <w:i w:val="0"/>
          <w:color w:val="2563EB"/>
          <w:sz w:val="18"/>
        </w:rPr>
        <w:t>"Retire at 60"</w:t>
      </w:r>
      <w:r>
        <w:rPr>
          <w:rFonts w:ascii="Segoe UI" w:hAnsi="Segoe UI"/>
          <w:b w:val="0"/>
          <w:i w:val="0"/>
          <w:color w:val="1F2937"/>
          <w:sz w:val="19"/>
        </w:rPr>
        <w:t xml:space="preserve">) and click </w:t>
      </w:r>
      <w:r>
        <w:rPr>
          <w:rFonts w:ascii="Segoe UI" w:hAnsi="Segoe UI"/>
          <w:b/>
          <w:i w:val="0"/>
          <w:color w:val="1F2937"/>
          <w:sz w:val="19"/>
        </w:rPr>
        <w:t>New scenario</w:t>
      </w:r>
      <w:r>
        <w:rPr>
          <w:rFonts w:ascii="Segoe UI" w:hAnsi="Segoe UI"/>
          <w:b w:val="0"/>
          <w:i w:val="0"/>
          <w:color w:val="1F2937"/>
          <w:sz w:val="19"/>
        </w:rPr>
        <w:t>.</w:t>
      </w:r>
    </w:p>
    <w:p>
      <w:pPr>
        <w:pStyle w:val="ListNumber"/>
        <w:spacing w:before="20" w:after="40"/>
      </w:pPr>
      <w:r>
        <w:rPr>
          <w:rFonts w:ascii="Segoe UI" w:hAnsi="Segoe UI"/>
          <w:b/>
          <w:i w:val="0"/>
          <w:color w:val="1F2937"/>
          <w:sz w:val="19"/>
        </w:rPr>
        <w:t>Active Scenario Sandboxing</w:t>
      </w:r>
      <w:r>
        <w:rPr>
          <w:rFonts w:ascii="Segoe UI" w:hAnsi="Segoe UI"/>
          <w:b w:val="0"/>
          <w:i w:val="0"/>
          <w:color w:val="1F2937"/>
          <w:sz w:val="19"/>
        </w:rPr>
        <w:t xml:space="preserve">: When a scenario is marked </w:t>
      </w:r>
      <w:r>
        <w:rPr>
          <w:rFonts w:ascii="Segoe UI" w:hAnsi="Segoe UI"/>
          <w:b/>
          <w:i w:val="0"/>
          <w:color w:val="1F2937"/>
          <w:sz w:val="19"/>
        </w:rPr>
        <w:t>Active</w:t>
      </w:r>
      <w:r>
        <w:rPr>
          <w:rFonts w:ascii="Segoe UI" w:hAnsi="Segoe UI"/>
          <w:b w:val="0"/>
          <w:i w:val="0"/>
          <w:color w:val="1F2937"/>
          <w:sz w:val="19"/>
        </w:rPr>
        <w:t xml:space="preserve">, any change you make anywhere in the app (adjusting retirement age, adding an expense, or changing savings) applies </w:t>
      </w:r>
      <w:r>
        <w:rPr>
          <w:rFonts w:ascii="Segoe UI" w:hAnsi="Segoe UI"/>
          <w:b/>
          <w:i w:val="0"/>
          <w:color w:val="1F2937"/>
          <w:sz w:val="19"/>
        </w:rPr>
        <w:t>only to that scenario</w:t>
      </w:r>
      <w:r>
        <w:rPr>
          <w:rFonts w:ascii="Segoe UI" w:hAnsi="Segoe UI"/>
          <w:b w:val="0"/>
          <w:i w:val="0"/>
          <w:color w:val="1F2937"/>
          <w:sz w:val="19"/>
        </w:rPr>
        <w:t>. Your original Base Plan remains untouched and protected!</w:t>
      </w:r>
    </w:p>
    <w:p>
      <w:pPr>
        <w:pStyle w:val="ListNumber"/>
        <w:spacing w:before="20" w:after="40"/>
      </w:pPr>
      <w:r>
        <w:rPr>
          <w:rFonts w:ascii="Segoe UI" w:hAnsi="Segoe UI"/>
          <w:b/>
          <w:i w:val="0"/>
          <w:color w:val="1F2937"/>
          <w:sz w:val="19"/>
        </w:rPr>
        <w:t>Side-by-Side Comparison Table</w:t>
      </w:r>
      <w:r>
        <w:rPr>
          <w:rFonts w:ascii="Segoe UI" w:hAnsi="Segoe UI"/>
          <w:b w:val="0"/>
          <w:i w:val="0"/>
          <w:color w:val="1F2937"/>
          <w:sz w:val="19"/>
        </w:rPr>
        <w:t>:</w:t>
      </w:r>
    </w:p>
    <w:p>
      <w:pPr>
        <w:pStyle w:val="ListBullet"/>
        <w:spacing w:before="20" w:after="40"/>
      </w:pPr>
      <w:r>
        <w:rPr>
          <w:rFonts w:ascii="Segoe UI" w:hAnsi="Segoe UI"/>
          <w:b/>
          <w:i w:val="0"/>
          <w:color w:val="1F2937"/>
          <w:sz w:val="19"/>
        </w:rPr>
        <w:t>Retire At</w:t>
      </w:r>
      <w:r>
        <w:rPr>
          <w:rFonts w:ascii="Segoe UI" w:hAnsi="Segoe UI"/>
          <w:b w:val="0"/>
          <w:i w:val="0"/>
          <w:color w:val="1F2937"/>
          <w:sz w:val="19"/>
        </w:rPr>
        <w:t>: Compare target retirement ages across scenarios.</w:t>
      </w:r>
    </w:p>
    <w:p>
      <w:pPr>
        <w:pStyle w:val="ListBullet"/>
        <w:spacing w:before="20" w:after="40"/>
      </w:pPr>
      <w:r>
        <w:rPr>
          <w:rFonts w:ascii="Segoe UI" w:hAnsi="Segoe UI"/>
          <w:b/>
          <w:i w:val="0"/>
          <w:color w:val="1F2937"/>
          <w:sz w:val="19"/>
        </w:rPr>
        <w:t>Ending Net Worth</w:t>
      </w:r>
      <w:r>
        <w:rPr>
          <w:rFonts w:ascii="Segoe UI" w:hAnsi="Segoe UI"/>
          <w:b w:val="0"/>
          <w:i w:val="0"/>
          <w:color w:val="1F2937"/>
          <w:sz w:val="19"/>
        </w:rPr>
        <w:t>: Compare final projected wealth at life expectancy.</w:t>
      </w:r>
    </w:p>
    <w:p>
      <w:pPr>
        <w:pStyle w:val="ListBullet"/>
        <w:spacing w:before="20" w:after="40"/>
      </w:pPr>
      <w:r>
        <w:rPr>
          <w:rFonts w:ascii="Segoe UI" w:hAnsi="Segoe UI"/>
          <w:b/>
          <w:i w:val="0"/>
          <w:color w:val="1F2937"/>
          <w:sz w:val="19"/>
        </w:rPr>
        <w:t>Monte Carlo Success Rate</w:t>
      </w:r>
      <w:r>
        <w:rPr>
          <w:rFonts w:ascii="Segoe UI" w:hAnsi="Segoe UI"/>
          <w:b w:val="0"/>
          <w:i w:val="0"/>
          <w:color w:val="1F2937"/>
          <w:sz w:val="19"/>
        </w:rPr>
        <w:t xml:space="preserve">: See whether a scenario maintains high confidence (green </w:t>
      </w:r>
      <w:r>
        <w:rPr>
          <w:rFonts w:ascii="Cambria Math" w:hAnsi="Cambria Math"/>
          <w:b w:val="0"/>
          <w:i/>
          <w:color w:val="4F46E5"/>
          <w:sz w:val="19"/>
        </w:rPr>
        <w:t>\ge 85\%</w:t>
      </w:r>
      <w:r>
        <w:rPr>
          <w:rFonts w:ascii="Segoe UI" w:hAnsi="Segoe UI"/>
          <w:b w:val="0"/>
          <w:i w:val="0"/>
          <w:color w:val="1F2937"/>
          <w:sz w:val="19"/>
        </w:rPr>
        <w:t>) or introduces shortfall risks.</w:t>
      </w:r>
    </w:p>
    <w:p>
      <w:pPr>
        <w:pStyle w:val="ListBullet"/>
        <w:spacing w:before="20" w:after="40"/>
      </w:pPr>
      <w:r>
        <w:rPr>
          <w:rFonts w:ascii="Segoe UI" w:hAnsi="Segoe UI"/>
          <w:b/>
          <w:i w:val="0"/>
          <w:color w:val="1F2937"/>
          <w:sz w:val="19"/>
        </w:rPr>
        <w:t>Work Income &amp; Annual Expenses</w:t>
      </w:r>
      <w:r>
        <w:rPr>
          <w:rFonts w:ascii="Segoe UI" w:hAnsi="Segoe UI"/>
          <w:b w:val="0"/>
          <w:i w:val="0"/>
          <w:color w:val="1F2937"/>
          <w:sz w:val="19"/>
        </w:rPr>
        <w:t>: Compare pre-retirement earnings and post-retirement lifestyle costs.</w:t>
      </w:r>
    </w:p>
    <w:p>
      <w:pPr>
        <w:pStyle w:val="ListNumber"/>
        <w:spacing w:before="20" w:after="40"/>
      </w:pPr>
      <w:r>
        <w:rPr>
          <w:rFonts w:ascii="Segoe UI" w:hAnsi="Segoe UI"/>
          <w:b/>
          <w:i w:val="0"/>
          <w:color w:val="1F2937"/>
          <w:sz w:val="19"/>
        </w:rPr>
        <w:t>Switching Active Plans</w:t>
      </w:r>
      <w:r>
        <w:rPr>
          <w:rFonts w:ascii="Segoe UI" w:hAnsi="Segoe UI"/>
          <w:b w:val="0"/>
          <w:i w:val="0"/>
          <w:color w:val="1F2937"/>
          <w:sz w:val="19"/>
        </w:rPr>
        <w:t xml:space="preserve">: Click on any scenario row to make it active, or click </w:t>
      </w:r>
      <w:r>
        <w:rPr>
          <w:rFonts w:ascii="Segoe UI" w:hAnsi="Segoe UI"/>
          <w:b/>
          <w:i w:val="0"/>
          <w:color w:val="1F2937"/>
          <w:sz w:val="19"/>
        </w:rPr>
        <w:t>Base plan</w:t>
      </w:r>
      <w:r>
        <w:rPr>
          <w:rFonts w:ascii="Segoe UI" w:hAnsi="Segoe UI"/>
          <w:b w:val="0"/>
          <w:i w:val="0"/>
          <w:color w:val="1F2937"/>
          <w:sz w:val="19"/>
        </w:rPr>
        <w:t xml:space="preserve"> to return to your foundational numbers. All charts across the app update instantly.</w:t>
      </w:r>
    </w:p>
    <w:p>
      <w:r>
        <w:br w:type="page"/>
      </w:r>
    </w:p>
    <w:p>
      <w:pPr>
        <w:keepNext/>
        <w:spacing w:before="440" w:after="160"/>
      </w:pPr>
      <w:r>
        <w:rPr>
          <w:rFonts w:ascii="Segoe UI" w:hAnsi="Segoe UI"/>
          <w:b/>
          <w:i w:val="0"/>
          <w:color w:val="1E3A8A"/>
          <w:sz w:val="40"/>
        </w:rPr>
        <w:t>CHAPTER 16: The 9 Financial Explorers</w:t>
      </w:r>
    </w:p>
    <w:p>
      <w:pPr>
        <w:spacing w:before="40" w:after="80" w:line="276" w:lineRule="auto"/>
      </w:pPr>
      <w:r>
        <w:rPr>
          <w:rFonts w:ascii="Segoe UI" w:hAnsi="Segoe UI"/>
          <w:b w:val="0"/>
          <w:i w:val="0"/>
          <w:color w:val="1F2937"/>
          <w:sz w:val="19"/>
        </w:rPr>
        <w:t xml:space="preserve">Financho features nine interactive decision engines under the </w:t>
      </w:r>
      <w:r>
        <w:rPr>
          <w:rFonts w:ascii="Segoe UI" w:hAnsi="Segoe UI"/>
          <w:b/>
          <w:i w:val="0"/>
          <w:color w:val="1F2937"/>
          <w:sz w:val="19"/>
        </w:rPr>
        <w:t>Explore</w:t>
      </w:r>
      <w:r>
        <w:rPr>
          <w:rFonts w:ascii="Segoe UI" w:hAnsi="Segoe UI"/>
          <w:b w:val="0"/>
          <w:i w:val="0"/>
          <w:color w:val="1F2937"/>
          <w:sz w:val="19"/>
        </w:rPr>
        <w:t xml:space="preserve"> menu. Each explorer addresses a critical retirement or wealth management question.</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16.1 Explorer 1: Projection Explorer</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Projection Explorer</w:t>
      </w:r>
      <w:r>
        <w:rPr>
          <w:rFonts w:ascii="Segoe UI" w:hAnsi="Segoe UI"/>
          <w:b w:val="0"/>
          <w:i w:val="0"/>
          <w:color w:val="1F2937"/>
          <w:sz w:val="19"/>
        </w:rPr>
        <w:t xml:space="preserve"> provides an interactive, year-by-year baseline projection of your net worth, investments, and spending through the end of your life expectancy.</w:t>
      </w:r>
    </w:p>
    <w:p>
      <w:pPr>
        <w:keepNext/>
        <w:spacing w:before="240" w:after="80"/>
      </w:pPr>
      <w:r>
        <w:rPr>
          <w:rFonts w:ascii="Segoe UI" w:hAnsi="Segoe UI"/>
          <w:b/>
          <w:i w:val="0"/>
          <w:color w:val="0F172A"/>
          <w:sz w:val="25"/>
        </w:rPr>
        <w:t>User Interface &amp; What-If Slider</w:t>
      </w:r>
    </w:p>
    <w:p>
      <w:pPr>
        <w:pStyle w:val="ListBullet"/>
        <w:spacing w:before="20" w:after="40"/>
      </w:pPr>
      <w:r>
        <w:rPr>
          <w:rFonts w:ascii="Segoe UI" w:hAnsi="Segoe UI"/>
          <w:b/>
          <w:i w:val="0"/>
          <w:color w:val="1F2937"/>
          <w:sz w:val="19"/>
        </w:rPr>
        <w:t>Retirement Age Slider</w:t>
      </w:r>
      <w:r>
        <w:rPr>
          <w:rFonts w:ascii="Segoe UI" w:hAnsi="Segoe UI"/>
          <w:b w:val="0"/>
          <w:i w:val="0"/>
          <w:color w:val="1F2937"/>
          <w:sz w:val="19"/>
        </w:rPr>
        <w:t>: Drag the interactive slider to change your target retirement age in real time (e.g., from age 65 to age 62). The chart recalculates immediately, showing the impact on your savings and depletion date.</w:t>
      </w:r>
    </w:p>
    <w:p>
      <w:pPr>
        <w:pStyle w:val="ListBullet"/>
        <w:spacing w:before="20" w:after="40"/>
      </w:pPr>
      <w:r>
        <w:rPr>
          <w:rFonts w:ascii="Segoe UI" w:hAnsi="Segoe UI"/>
          <w:b/>
          <w:i w:val="0"/>
          <w:color w:val="1F2937"/>
          <w:sz w:val="19"/>
        </w:rPr>
        <w:t>Dual Visual Curves</w:t>
      </w:r>
      <w:r>
        <w:rPr>
          <w:rFonts w:ascii="Segoe UI" w:hAnsi="Segoe UI"/>
          <w:b w:val="0"/>
          <w:i w:val="0"/>
          <w:color w:val="1F2937"/>
          <w:sz w:val="19"/>
        </w:rPr>
        <w:t>:</w:t>
      </w:r>
    </w:p>
    <w:p>
      <w:pPr>
        <w:pStyle w:val="ListBullet"/>
        <w:spacing w:before="20" w:after="40"/>
      </w:pPr>
      <w:r>
        <w:rPr>
          <w:rFonts w:ascii="Segoe UI" w:hAnsi="Segoe UI"/>
          <w:b/>
          <w:i w:val="0"/>
          <w:color w:val="1F2937"/>
          <w:sz w:val="19"/>
        </w:rPr>
        <w:t>Net Worth (Blue Area)</w:t>
      </w:r>
      <w:r>
        <w:rPr>
          <w:rFonts w:ascii="Segoe UI" w:hAnsi="Segoe UI"/>
          <w:b w:val="0"/>
          <w:i w:val="0"/>
          <w:color w:val="1F2937"/>
          <w:sz w:val="19"/>
        </w:rPr>
        <w:t>: Your complete wealth including real estate and home equity.</w:t>
      </w:r>
    </w:p>
    <w:p>
      <w:pPr>
        <w:pStyle w:val="ListBullet"/>
        <w:spacing w:before="20" w:after="40"/>
      </w:pPr>
      <w:r>
        <w:rPr>
          <w:rFonts w:ascii="Segoe UI" w:hAnsi="Segoe UI"/>
          <w:b/>
          <w:i w:val="0"/>
          <w:color w:val="1F2937"/>
          <w:sz w:val="19"/>
        </w:rPr>
        <w:t>Liquid Investable Assets (Green Area)</w:t>
      </w:r>
      <w:r>
        <w:rPr>
          <w:rFonts w:ascii="Segoe UI" w:hAnsi="Segoe UI"/>
          <w:b w:val="0"/>
          <w:i w:val="0"/>
          <w:color w:val="1F2937"/>
          <w:sz w:val="19"/>
        </w:rPr>
        <w:t>: The actual spendable investment balance available to cover your bills.</w:t>
      </w:r>
    </w:p>
    <w:p>
      <w:pPr>
        <w:pStyle w:val="ListBullet"/>
        <w:spacing w:before="20" w:after="40"/>
      </w:pPr>
      <w:r>
        <w:rPr>
          <w:rFonts w:ascii="Segoe UI" w:hAnsi="Segoe UI"/>
          <w:b/>
          <w:i w:val="0"/>
          <w:color w:val="1F2937"/>
          <w:sz w:val="19"/>
        </w:rPr>
        <w:t>Retirement &amp; Depletion Markers</w:t>
      </w:r>
      <w:r>
        <w:rPr>
          <w:rFonts w:ascii="Segoe UI" w:hAnsi="Segoe UI"/>
          <w:b w:val="0"/>
          <w:i w:val="0"/>
          <w:color w:val="1F2937"/>
          <w:sz w:val="19"/>
        </w:rPr>
        <w:t>: Vertical lines indicate the year you retire and the year your investable assets are projected to deplete (if applicable).</w:t>
      </w:r>
    </w:p>
    <w:p>
      <w:pPr>
        <w:keepNext/>
        <w:spacing w:before="240" w:after="80"/>
      </w:pPr>
      <w:r>
        <w:rPr>
          <w:rFonts w:ascii="Segoe UI" w:hAnsi="Segoe UI"/>
          <w:b/>
          <w:i w:val="0"/>
          <w:color w:val="0F172A"/>
          <w:sz w:val="25"/>
        </w:rPr>
        <w:t>Actionable Takeaway</w:t>
      </w:r>
    </w:p>
    <w:p>
      <w:pPr>
        <w:spacing w:before="40" w:after="80" w:line="276" w:lineRule="auto"/>
      </w:pPr>
      <w:r>
        <w:rPr>
          <w:rFonts w:ascii="Segoe UI" w:hAnsi="Segoe UI"/>
          <w:b w:val="0"/>
          <w:i w:val="0"/>
          <w:color w:val="1F2937"/>
          <w:sz w:val="19"/>
        </w:rPr>
        <w:t>Use this explorer to quickly test the trade-off between working a few extra years versus retiring earlier with a slightly leaner budget.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16.2 Explorer 2: Monte Carlo Simulation</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 xml:space="preserve">While the Projection Explorer uses average returns, the real stock market is volatile. The </w:t>
      </w:r>
      <w:r>
        <w:rPr>
          <w:rFonts w:ascii="Segoe UI" w:hAnsi="Segoe UI"/>
          <w:b/>
          <w:i w:val="0"/>
          <w:color w:val="1F2937"/>
          <w:sz w:val="19"/>
        </w:rPr>
        <w:t>Monte Carlo Simulator</w:t>
      </w:r>
      <w:r>
        <w:rPr>
          <w:rFonts w:ascii="Segoe UI" w:hAnsi="Segoe UI"/>
          <w:b w:val="0"/>
          <w:i w:val="0"/>
          <w:color w:val="1F2937"/>
          <w:sz w:val="19"/>
        </w:rPr>
        <w:t xml:space="preserve"> stress-tests your plan across </w:t>
      </w:r>
      <w:r>
        <w:rPr>
          <w:rFonts w:ascii="Segoe UI" w:hAnsi="Segoe UI"/>
          <w:b/>
          <w:i w:val="0"/>
          <w:color w:val="1F2937"/>
          <w:sz w:val="19"/>
        </w:rPr>
        <w:t>10,000 randomized market simulations</w:t>
      </w:r>
      <w:r>
        <w:rPr>
          <w:rFonts w:ascii="Segoe UI" w:hAnsi="Segoe UI"/>
          <w:b w:val="0"/>
          <w:i w:val="0"/>
          <w:color w:val="1F2937"/>
          <w:sz w:val="19"/>
        </w:rPr>
        <w:t xml:space="preserve"> to see how your portfolio holds up under severe sequence-of-returns risks and unexpected inflation spikes.</w:t>
      </w:r>
    </w:p>
    <w:p>
      <w:pPr>
        <w:keepNext/>
        <w:spacing w:before="240" w:after="80"/>
      </w:pPr>
      <w:r>
        <w:rPr>
          <w:rFonts w:ascii="Segoe UI" w:hAnsi="Segoe UI"/>
          <w:b/>
          <w:i w:val="0"/>
          <w:color w:val="0F172A"/>
          <w:sz w:val="25"/>
        </w:rPr>
        <w:t>How It Works (In Plain English)</w:t>
      </w:r>
    </w:p>
    <w:p>
      <w:pPr>
        <w:pStyle w:val="ListBullet"/>
        <w:spacing w:before="20" w:after="40"/>
      </w:pPr>
      <w:r>
        <w:rPr>
          <w:rFonts w:ascii="Segoe UI" w:hAnsi="Segoe UI"/>
          <w:b/>
          <w:i w:val="0"/>
          <w:color w:val="1F2937"/>
          <w:sz w:val="19"/>
        </w:rPr>
        <w:t>10,000 Independent Lives</w:t>
      </w:r>
      <w:r>
        <w:rPr>
          <w:rFonts w:ascii="Segoe UI" w:hAnsi="Segoe UI"/>
          <w:b w:val="0"/>
          <w:i w:val="0"/>
          <w:color w:val="1F2937"/>
          <w:sz w:val="19"/>
        </w:rPr>
        <w:t>: Financho runs 10,000 different randomized market lifetimes. In some simulations, you retire right into a severe multi-year bear market (like 1929 or 2008); in others, you experience strong bull markets.</w:t>
      </w:r>
    </w:p>
    <w:p>
      <w:pPr>
        <w:pStyle w:val="ListBullet"/>
        <w:spacing w:before="20" w:after="40"/>
      </w:pPr>
      <w:r>
        <w:rPr>
          <w:rFonts w:ascii="Segoe UI" w:hAnsi="Segoe UI"/>
          <w:b/>
          <w:i w:val="0"/>
          <w:color w:val="1F2937"/>
          <w:sz w:val="19"/>
        </w:rPr>
        <w:t>Real-World Asset Correlations</w:t>
      </w:r>
      <w:r>
        <w:rPr>
          <w:rFonts w:ascii="Segoe UI" w:hAnsi="Segoe UI"/>
          <w:b w:val="0"/>
          <w:i w:val="0"/>
          <w:color w:val="1F2937"/>
          <w:sz w:val="19"/>
        </w:rPr>
        <w:t>: The simulation accurately models how stocks, bonds, and inflation interact. For example, during high-inflation periods, both stocks and bonds often experience headwinds.</w:t>
      </w:r>
    </w:p>
    <w:p>
      <w:pPr>
        <w:pStyle w:val="ListBullet"/>
        <w:spacing w:before="20" w:after="40"/>
      </w:pPr>
      <w:r>
        <w:rPr>
          <w:rFonts w:ascii="Segoe UI" w:hAnsi="Segoe UI"/>
          <w:b/>
          <w:i w:val="0"/>
          <w:color w:val="1F2937"/>
          <w:sz w:val="19"/>
        </w:rPr>
        <w:t>Stochastic Inflation</w:t>
      </w:r>
      <w:r>
        <w:rPr>
          <w:rFonts w:ascii="Segoe UI" w:hAnsi="Segoe UI"/>
          <w:b w:val="0"/>
          <w:i w:val="0"/>
          <w:color w:val="1F2937"/>
          <w:sz w:val="19"/>
        </w:rPr>
        <w:t>: Inflation is not static; it fluctuates randomly, testing whether your living expenses outpace your portfolio growth.</w:t>
      </w:r>
    </w:p>
    <w:p>
      <w:pPr>
        <w:keepNext/>
        <w:spacing w:before="240" w:after="80"/>
      </w:pPr>
      <w:r>
        <w:rPr>
          <w:rFonts w:ascii="Segoe UI" w:hAnsi="Segoe UI"/>
          <w:b/>
          <w:i w:val="0"/>
          <w:color w:val="0F172A"/>
          <w:sz w:val="25"/>
        </w:rPr>
        <w:t>Interpreting the Results</w:t>
      </w:r>
    </w:p>
    <w:p>
      <w:pPr>
        <w:pStyle w:val="ListBullet"/>
        <w:spacing w:before="20" w:after="40"/>
      </w:pPr>
      <w:r>
        <w:rPr>
          <w:rFonts w:ascii="Segoe UI" w:hAnsi="Segoe UI"/>
          <w:b/>
          <w:i w:val="0"/>
          <w:color w:val="1F2937"/>
          <w:sz w:val="19"/>
        </w:rPr>
        <w:t>Success Probability Card</w:t>
      </w:r>
      <w:r>
        <w:rPr>
          <w:rFonts w:ascii="Segoe UI" w:hAnsi="Segoe UI"/>
          <w:b w:val="0"/>
          <w:i w:val="0"/>
          <w:color w:val="1F2937"/>
          <w:sz w:val="19"/>
        </w:rPr>
        <w:t>:</w:t>
      </w:r>
    </w:p>
    <w:p>
      <w:pPr>
        <w:pStyle w:val="ListBullet"/>
        <w:spacing w:before="20" w:after="40"/>
      </w:pPr>
      <w:r>
        <w:rPr>
          <w:rFonts w:ascii="Segoe UI" w:hAnsi="Segoe UI"/>
          <w:b/>
          <w:i w:val="0"/>
          <w:color w:val="1F2937"/>
          <w:sz w:val="19"/>
        </w:rPr>
        <w:t>85% or Higher (Green)</w:t>
      </w:r>
      <w:r>
        <w:rPr>
          <w:rFonts w:ascii="Segoe UI" w:hAnsi="Segoe UI"/>
          <w:b w:val="0"/>
          <w:i w:val="0"/>
          <w:color w:val="1F2937"/>
          <w:sz w:val="19"/>
        </w:rPr>
        <w:t>: High confidence plan. Your savings survived through life expectancy in at least 8,500 out of 10,000 market scenarios.</w:t>
      </w:r>
    </w:p>
    <w:p>
      <w:pPr>
        <w:pStyle w:val="ListBullet"/>
        <w:spacing w:before="20" w:after="40"/>
      </w:pPr>
      <w:r>
        <w:rPr>
          <w:rFonts w:ascii="Segoe UI" w:hAnsi="Segoe UI"/>
          <w:b/>
          <w:i w:val="0"/>
          <w:color w:val="1F2937"/>
          <w:sz w:val="19"/>
        </w:rPr>
        <w:t>65% to 84% (Amber)</w:t>
      </w:r>
      <w:r>
        <w:rPr>
          <w:rFonts w:ascii="Segoe UI" w:hAnsi="Segoe UI"/>
          <w:b w:val="0"/>
          <w:i w:val="0"/>
          <w:color w:val="1F2937"/>
          <w:sz w:val="19"/>
        </w:rPr>
        <w:t>: Moderate confidence. Your plan is generally viable, but a severe early bear market could cause stress. Consider small spending adjustments.</w:t>
      </w:r>
    </w:p>
    <w:p>
      <w:pPr>
        <w:pStyle w:val="ListBullet"/>
        <w:spacing w:before="20" w:after="40"/>
      </w:pPr>
      <w:r>
        <w:rPr>
          <w:rFonts w:ascii="Segoe UI" w:hAnsi="Segoe UI"/>
          <w:b/>
          <w:i w:val="0"/>
          <w:color w:val="1F2937"/>
          <w:sz w:val="19"/>
        </w:rPr>
        <w:t>Below 65% (Red)</w:t>
      </w:r>
      <w:r>
        <w:rPr>
          <w:rFonts w:ascii="Segoe UI" w:hAnsi="Segoe UI"/>
          <w:b w:val="0"/>
          <w:i w:val="0"/>
          <w:color w:val="1F2937"/>
          <w:sz w:val="19"/>
        </w:rPr>
        <w:t>: At risk. There is a meaningful chance of running out of money. Action is recommended (e.g., saving more, delaying retirement, or adopting dynamic spending guardrails).</w:t>
      </w:r>
    </w:p>
    <w:p>
      <w:pPr>
        <w:pStyle w:val="ListBullet"/>
        <w:spacing w:before="20" w:after="40"/>
      </w:pPr>
      <w:r>
        <w:rPr>
          <w:rFonts w:ascii="Segoe UI" w:hAnsi="Segoe UI"/>
          <w:b/>
          <w:i w:val="0"/>
          <w:color w:val="1F2937"/>
          <w:sz w:val="19"/>
        </w:rPr>
        <w:t>The Percentile Fan Chart</w:t>
      </w:r>
      <w:r>
        <w:rPr>
          <w:rFonts w:ascii="Segoe UI" w:hAnsi="Segoe UI"/>
          <w:b w:val="0"/>
          <w:i w:val="0"/>
          <w:color w:val="1F2937"/>
          <w:sz w:val="19"/>
        </w:rPr>
        <w:t>:</w:t>
      </w:r>
    </w:p>
    <w:p>
      <w:pPr>
        <w:pStyle w:val="ListBullet"/>
        <w:spacing w:before="20" w:after="40"/>
      </w:pPr>
      <w:r>
        <w:rPr>
          <w:rFonts w:ascii="Segoe UI" w:hAnsi="Segoe UI"/>
          <w:b/>
          <w:i w:val="0"/>
          <w:color w:val="1F2937"/>
          <w:sz w:val="19"/>
        </w:rPr>
        <w:t>Top Line (90th Percentile / p90)</w:t>
      </w:r>
      <w:r>
        <w:rPr>
          <w:rFonts w:ascii="Segoe UI" w:hAnsi="Segoe UI"/>
          <w:b w:val="0"/>
          <w:i w:val="0"/>
          <w:color w:val="1F2937"/>
          <w:sz w:val="19"/>
        </w:rPr>
        <w:t>: The best-case scenario (strong market growth).</w:t>
      </w:r>
    </w:p>
    <w:p>
      <w:pPr>
        <w:pStyle w:val="ListBullet"/>
        <w:spacing w:before="20" w:after="40"/>
      </w:pPr>
      <w:r>
        <w:rPr>
          <w:rFonts w:ascii="Segoe UI" w:hAnsi="Segoe UI"/>
          <w:b/>
          <w:i w:val="0"/>
          <w:color w:val="1F2937"/>
          <w:sz w:val="19"/>
        </w:rPr>
        <w:t>Middle Line (50th Percentile / Median / p50)</w:t>
      </w:r>
      <w:r>
        <w:rPr>
          <w:rFonts w:ascii="Segoe UI" w:hAnsi="Segoe UI"/>
          <w:b w:val="0"/>
          <w:i w:val="0"/>
          <w:color w:val="1F2937"/>
          <w:sz w:val="19"/>
        </w:rPr>
        <w:t>: The most likely expected outcome.</w:t>
      </w:r>
    </w:p>
    <w:p>
      <w:pPr>
        <w:pStyle w:val="ListBullet"/>
        <w:spacing w:before="20" w:after="40"/>
      </w:pPr>
      <w:r>
        <w:rPr>
          <w:rFonts w:ascii="Segoe UI" w:hAnsi="Segoe UI"/>
          <w:b/>
          <w:i w:val="0"/>
          <w:color w:val="1F2937"/>
          <w:sz w:val="19"/>
        </w:rPr>
        <w:t>Bottom Line (10th Percentile / p10)</w:t>
      </w:r>
      <w:r>
        <w:rPr>
          <w:rFonts w:ascii="Segoe UI" w:hAnsi="Segoe UI"/>
          <w:b w:val="0"/>
          <w:i w:val="0"/>
          <w:color w:val="1F2937"/>
          <w:sz w:val="19"/>
        </w:rPr>
        <w:t>: The stress-test scenario (worst 10% of market sequences). If your 10th percentile line stays above zero, your retirement is exceptionally safe!</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16.3 Explorer 3: Cash Flow Explorer</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Cash Flow Explorer</w:t>
      </w:r>
      <w:r>
        <w:rPr>
          <w:rFonts w:ascii="Segoe UI" w:hAnsi="Segoe UI"/>
          <w:b w:val="0"/>
          <w:i w:val="0"/>
          <w:color w:val="1F2937"/>
          <w:sz w:val="19"/>
        </w:rPr>
        <w:t xml:space="preserve"> breaks down where every dollar comes from and where every dollar goes in every year of your life.</w:t>
      </w:r>
    </w:p>
    <w:p>
      <w:pPr>
        <w:keepNext/>
        <w:spacing w:before="240" w:after="80"/>
      </w:pPr>
      <w:r>
        <w:rPr>
          <w:rFonts w:ascii="Segoe UI" w:hAnsi="Segoe UI"/>
          <w:b/>
          <w:i w:val="0"/>
          <w:color w:val="0F172A"/>
          <w:sz w:val="25"/>
        </w:rPr>
        <w:t>Key Visualizations</w:t>
      </w:r>
    </w:p>
    <w:p>
      <w:pPr>
        <w:pStyle w:val="ListBullet"/>
        <w:spacing w:before="20" w:after="40"/>
      </w:pPr>
      <w:r>
        <w:rPr>
          <w:rFonts w:ascii="Segoe UI" w:hAnsi="Segoe UI"/>
          <w:b/>
          <w:i w:val="0"/>
          <w:color w:val="1F2937"/>
          <w:sz w:val="19"/>
        </w:rPr>
        <w:t>Tri-Color Annual Cash Flow Chart</w:t>
      </w:r>
      <w:r>
        <w:rPr>
          <w:rFonts w:ascii="Segoe UI" w:hAnsi="Segoe UI"/>
          <w:b w:val="0"/>
          <w:i w:val="0"/>
          <w:color w:val="1F2937"/>
          <w:sz w:val="19"/>
        </w:rPr>
        <w:t>:</w:t>
      </w:r>
    </w:p>
    <w:p>
      <w:pPr>
        <w:pStyle w:val="ListBullet"/>
        <w:spacing w:before="20" w:after="40"/>
      </w:pPr>
      <w:r>
        <w:rPr>
          <w:rFonts w:ascii="Segoe UI" w:hAnsi="Segoe UI"/>
          <w:b/>
          <w:i w:val="0"/>
          <w:color w:val="1F2937"/>
          <w:sz w:val="19"/>
        </w:rPr>
        <w:t>Green Bars (Total Income)</w:t>
      </w:r>
      <w:r>
        <w:rPr>
          <w:rFonts w:ascii="Segoe UI" w:hAnsi="Segoe UI"/>
          <w:b w:val="0"/>
          <w:i w:val="0"/>
          <w:color w:val="1F2937"/>
          <w:sz w:val="19"/>
        </w:rPr>
        <w:t>: Work earnings, pensions, Social Security, and Required Minimum Distributions (RMDs).</w:t>
      </w:r>
    </w:p>
    <w:p>
      <w:pPr>
        <w:pStyle w:val="ListBullet"/>
        <w:spacing w:before="20" w:after="40"/>
      </w:pPr>
      <w:r>
        <w:rPr>
          <w:rFonts w:ascii="Segoe UI" w:hAnsi="Segoe UI"/>
          <w:b/>
          <w:i w:val="0"/>
          <w:color w:val="1F2937"/>
          <w:sz w:val="19"/>
        </w:rPr>
        <w:t>Blue Bars (Living Expenses)</w:t>
      </w:r>
      <w:r>
        <w:rPr>
          <w:rFonts w:ascii="Segoe UI" w:hAnsi="Segoe UI"/>
          <w:b w:val="0"/>
          <w:i w:val="0"/>
          <w:color w:val="1F2937"/>
          <w:sz w:val="19"/>
        </w:rPr>
        <w:t>: Your essential and discretionary expenses, adjusted for inflation over time.</w:t>
      </w:r>
    </w:p>
    <w:p>
      <w:pPr>
        <w:pStyle w:val="ListBullet"/>
        <w:spacing w:before="20" w:after="40"/>
      </w:pPr>
      <w:r>
        <w:rPr>
          <w:rFonts w:ascii="Segoe UI" w:hAnsi="Segoe UI"/>
          <w:b/>
          <w:i w:val="0"/>
          <w:color w:val="1F2937"/>
          <w:sz w:val="19"/>
        </w:rPr>
        <w:t>Red Bars (Total Taxes)</w:t>
      </w:r>
      <w:r>
        <w:rPr>
          <w:rFonts w:ascii="Segoe UI" w:hAnsi="Segoe UI"/>
          <w:b w:val="0"/>
          <w:i w:val="0"/>
          <w:color w:val="1F2937"/>
          <w:sz w:val="19"/>
        </w:rPr>
        <w:t>: Your combined federal income tax, state income tax, capital gains tax, FICA payroll tax, and Medicare surcharges.</w:t>
      </w:r>
    </w:p>
    <w:p>
      <w:pPr>
        <w:pStyle w:val="ListBullet"/>
        <w:spacing w:before="20" w:after="40"/>
      </w:pPr>
      <w:r>
        <w:rPr>
          <w:rFonts w:ascii="Segoe UI" w:hAnsi="Segoe UI"/>
          <w:b/>
          <w:i w:val="0"/>
          <w:color w:val="1F2937"/>
          <w:sz w:val="19"/>
        </w:rPr>
        <w:t>Surplus vs. Deficit Routing</w:t>
      </w:r>
      <w:r>
        <w:rPr>
          <w:rFonts w:ascii="Segoe UI" w:hAnsi="Segoe UI"/>
          <w:b w:val="0"/>
          <w:i w:val="0"/>
          <w:color w:val="1F2937"/>
          <w:sz w:val="19"/>
        </w:rPr>
        <w:t>:</w:t>
      </w:r>
    </w:p>
    <w:p>
      <w:pPr>
        <w:pStyle w:val="ListBullet"/>
        <w:spacing w:before="20" w:after="40"/>
      </w:pPr>
      <w:r>
        <w:rPr>
          <w:rFonts w:ascii="Segoe UI" w:hAnsi="Segoe UI"/>
          <w:b w:val="0"/>
          <w:i w:val="0"/>
          <w:color w:val="1F2937"/>
          <w:sz w:val="19"/>
        </w:rPr>
        <w:t>In working years with a surplus, excess cash is automatically reinvested into your taxable brokerage accounts, growing your savings.</w:t>
      </w:r>
    </w:p>
    <w:p>
      <w:pPr>
        <w:pStyle w:val="ListBullet"/>
        <w:spacing w:before="20" w:after="40"/>
      </w:pPr>
      <w:r>
        <w:rPr>
          <w:rFonts w:ascii="Segoe UI" w:hAnsi="Segoe UI"/>
          <w:b w:val="0"/>
          <w:i w:val="0"/>
          <w:color w:val="1F2937"/>
          <w:sz w:val="19"/>
        </w:rPr>
        <w:t>In retirement years with a deficit, Financho shows the exact dollar amount withdrawn from your portfolio to cover expenses and taxes.</w:t>
      </w:r>
    </w:p>
    <w:p>
      <w:pPr>
        <w:pStyle w:val="ListBullet"/>
        <w:spacing w:before="20" w:after="40"/>
      </w:pPr>
      <w:r>
        <w:rPr>
          <w:rFonts w:ascii="Segoe UI" w:hAnsi="Segoe UI"/>
          <w:b/>
          <w:i w:val="0"/>
          <w:color w:val="1F2937"/>
          <w:sz w:val="19"/>
        </w:rPr>
        <w:t>Lifetime Tax Summary Card</w:t>
      </w:r>
      <w:r>
        <w:rPr>
          <w:rFonts w:ascii="Segoe UI" w:hAnsi="Segoe UI"/>
          <w:b w:val="0"/>
          <w:i w:val="0"/>
          <w:color w:val="1F2937"/>
          <w:sz w:val="19"/>
        </w:rPr>
        <w:t>: Displays your projected peak tax year, your peak annual tax bill, and your total cumulative taxes paid across your lifetime.</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16.4 Explorer 4: Roth Conversion Optimizer</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If you have substantial savings in pre-tax traditional 401(k) or IRA accounts, you face a potential "tax bomb" in your 70s and 80s when mandatory Required Minimum Distributions (RMDs) force large taxable withdrawals.</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Roth Conversion Optimizer</w:t>
      </w:r>
      <w:r>
        <w:rPr>
          <w:rFonts w:ascii="Segoe UI" w:hAnsi="Segoe UI"/>
          <w:b w:val="0"/>
          <w:i w:val="0"/>
          <w:color w:val="1F2937"/>
          <w:sz w:val="19"/>
        </w:rPr>
        <w:t xml:space="preserve"> automatically analyzes your plan and calculates the exact dollar amount to convert from traditional accounts to Roth accounts each year to </w:t>
      </w:r>
      <w:r>
        <w:rPr>
          <w:rFonts w:ascii="Segoe UI" w:hAnsi="Segoe UI"/>
          <w:b/>
          <w:i w:val="0"/>
          <w:color w:val="1F2937"/>
          <w:sz w:val="19"/>
        </w:rPr>
        <w:t>minimize your lifetime tax bill and maximize your wealth</w:t>
      </w:r>
      <w:r>
        <w:rPr>
          <w:rFonts w:ascii="Segoe UI" w:hAnsi="Segoe UI"/>
          <w:b w:val="0"/>
          <w:i w:val="0"/>
          <w:color w:val="1F2937"/>
          <w:sz w:val="19"/>
        </w:rPr>
        <w:t>.</w:t>
      </w:r>
    </w:p>
    <w:p>
      <w:pPr>
        <w:keepNext/>
        <w:spacing w:before="240" w:after="80"/>
      </w:pPr>
      <w:r>
        <w:rPr>
          <w:rFonts w:ascii="Segoe UI" w:hAnsi="Segoe UI"/>
          <w:b/>
          <w:i w:val="0"/>
          <w:color w:val="0F172A"/>
          <w:sz w:val="25"/>
        </w:rPr>
        <w:t>How the Optimizer Works</w:t>
      </w:r>
    </w:p>
    <w:p>
      <w:pPr>
        <w:pStyle w:val="ListBullet"/>
        <w:spacing w:before="20" w:after="40"/>
      </w:pPr>
      <w:r>
        <w:rPr>
          <w:rFonts w:ascii="Segoe UI" w:hAnsi="Segoe UI"/>
          <w:b/>
          <w:i w:val="0"/>
          <w:color w:val="1F2937"/>
          <w:sz w:val="19"/>
        </w:rPr>
        <w:t>Tax Bracket Filling</w:t>
      </w:r>
      <w:r>
        <w:rPr>
          <w:rFonts w:ascii="Segoe UI" w:hAnsi="Segoe UI"/>
          <w:b w:val="0"/>
          <w:i w:val="0"/>
          <w:color w:val="1F2937"/>
          <w:sz w:val="19"/>
        </w:rPr>
        <w:t>: The optimizer identifies "low-bracket tax windows" (such as early retirement years after salary ends but before Social Security and RMDs begin) to convert funds at today's lower tax rates (e.g., 10%, 12%, or 22%).</w:t>
      </w:r>
    </w:p>
    <w:p>
      <w:pPr>
        <w:pStyle w:val="ListBullet"/>
        <w:spacing w:before="20" w:after="40"/>
      </w:pPr>
      <w:r>
        <w:rPr>
          <w:rFonts w:ascii="Segoe UI" w:hAnsi="Segoe UI"/>
          <w:b/>
          <w:i w:val="0"/>
          <w:color w:val="1F2937"/>
          <w:sz w:val="19"/>
        </w:rPr>
        <w:t>Multi-Variable Cost Analysis</w:t>
      </w:r>
      <w:r>
        <w:rPr>
          <w:rFonts w:ascii="Segoe UI" w:hAnsi="Segoe UI"/>
          <w:b w:val="0"/>
          <w:i w:val="0"/>
          <w:color w:val="1F2937"/>
          <w:sz w:val="19"/>
        </w:rPr>
        <w:t>: The optimizer calculates not only federal and state income taxes on conversions, but also checks whether conversions would trigger higher Medicare IRMAA surcharges, increase Social Security taxation, or reduce health insurance subsidies.</w:t>
      </w:r>
    </w:p>
    <w:p>
      <w:pPr>
        <w:pStyle w:val="ListBullet"/>
        <w:spacing w:before="20" w:after="40"/>
      </w:pPr>
      <w:r>
        <w:rPr>
          <w:rFonts w:ascii="Segoe UI" w:hAnsi="Segoe UI"/>
          <w:b/>
          <w:i w:val="0"/>
          <w:color w:val="1F2937"/>
          <w:sz w:val="19"/>
        </w:rPr>
        <w:t>"Auto Adjust" Button</w:t>
      </w:r>
      <w:r>
        <w:rPr>
          <w:rFonts w:ascii="Segoe UI" w:hAnsi="Segoe UI"/>
          <w:b w:val="0"/>
          <w:i w:val="0"/>
          <w:color w:val="1F2937"/>
          <w:sz w:val="19"/>
        </w:rPr>
        <w:t xml:space="preserve">: Click </w:t>
      </w:r>
      <w:r>
        <w:rPr>
          <w:rFonts w:ascii="Segoe UI" w:hAnsi="Segoe UI"/>
          <w:b/>
          <w:i w:val="0"/>
          <w:color w:val="1F2937"/>
          <w:sz w:val="19"/>
        </w:rPr>
        <w:t>Auto adjust</w:t>
      </w:r>
      <w:r>
        <w:rPr>
          <w:rFonts w:ascii="Segoe UI" w:hAnsi="Segoe UI"/>
          <w:b w:val="0"/>
          <w:i w:val="0"/>
          <w:color w:val="1F2937"/>
          <w:sz w:val="19"/>
        </w:rPr>
        <w:t xml:space="preserve"> to automatically adopt the mathematically optimal conversion schedule discovered by the optimizer.</w:t>
      </w:r>
    </w:p>
    <w:p>
      <w:pPr>
        <w:pStyle w:val="ListBullet"/>
        <w:spacing w:before="20" w:after="40"/>
      </w:pPr>
      <w:r>
        <w:rPr>
          <w:rFonts w:ascii="Segoe UI" w:hAnsi="Segoe UI"/>
          <w:b/>
          <w:i w:val="0"/>
          <w:color w:val="1F2937"/>
          <w:sz w:val="19"/>
        </w:rPr>
        <w:t>Jump Diagnostics ("Why?" Button)</w:t>
      </w:r>
      <w:r>
        <w:rPr>
          <w:rFonts w:ascii="Segoe UI" w:hAnsi="Segoe UI"/>
          <w:b w:val="0"/>
          <w:i w:val="0"/>
          <w:color w:val="1F2937"/>
          <w:sz w:val="19"/>
        </w:rPr>
        <w:t xml:space="preserve">: If the optimizer recommends a specific conversion threshold, click </w:t>
      </w:r>
      <w:r>
        <w:rPr>
          <w:rFonts w:ascii="Segoe UI" w:hAnsi="Segoe UI"/>
          <w:b/>
          <w:i w:val="0"/>
          <w:color w:val="1F2937"/>
          <w:sz w:val="19"/>
        </w:rPr>
        <w:t>Why?</w:t>
      </w:r>
      <w:r>
        <w:rPr>
          <w:rFonts w:ascii="Segoe UI" w:hAnsi="Segoe UI"/>
          <w:b w:val="0"/>
          <w:i w:val="0"/>
          <w:color w:val="1F2937"/>
          <w:sz w:val="19"/>
        </w:rPr>
        <w:t xml:space="preserve"> to see plain-English explanations—such as avoiding the next federal tax bracket, avoiding an IRMAA cliff, or maximizing your legacy wealth.</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16.5 Explorer 5: Social Security Claiming Optimizer</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Deciding when to claim Social Security is one of the most important financial decisions of your life. Claiming too early can leave tens of thousands of guaranteed dollars on the table.</w:t>
      </w:r>
    </w:p>
    <w:p>
      <w:pPr>
        <w:keepNext/>
        <w:spacing w:before="240" w:after="80"/>
      </w:pPr>
      <w:r>
        <w:rPr>
          <w:rFonts w:ascii="Segoe UI" w:hAnsi="Segoe UI"/>
          <w:b/>
          <w:i w:val="0"/>
          <w:color w:val="0F172A"/>
          <w:sz w:val="25"/>
        </w:rPr>
        <w:t>Features</w:t>
      </w:r>
    </w:p>
    <w:p>
      <w:pPr>
        <w:pStyle w:val="ListBullet"/>
        <w:spacing w:before="20" w:after="40"/>
      </w:pPr>
      <w:r>
        <w:rPr>
          <w:rFonts w:ascii="Segoe UI" w:hAnsi="Segoe UI"/>
          <w:b/>
          <w:i w:val="0"/>
          <w:color w:val="1F2937"/>
          <w:sz w:val="19"/>
        </w:rPr>
        <w:t>Claiming Age Comparison (Ages 62 to 70)</w:t>
      </w:r>
      <w:r>
        <w:rPr>
          <w:rFonts w:ascii="Segoe UI" w:hAnsi="Segoe UI"/>
          <w:b w:val="0"/>
          <w:i w:val="0"/>
          <w:color w:val="1F2937"/>
          <w:sz w:val="19"/>
        </w:rPr>
        <w:t>: Compare your monthly check and cumulative lifetime payouts across every possible claiming age.</w:t>
      </w:r>
    </w:p>
    <w:p>
      <w:pPr>
        <w:pStyle w:val="ListBullet"/>
        <w:spacing w:before="20" w:after="40"/>
      </w:pPr>
      <w:r>
        <w:rPr>
          <w:rFonts w:ascii="Segoe UI" w:hAnsi="Segoe UI"/>
          <w:b/>
          <w:i w:val="0"/>
          <w:color w:val="1F2937"/>
          <w:sz w:val="19"/>
        </w:rPr>
        <w:t>Break-Even Analysis</w:t>
      </w:r>
      <w:r>
        <w:rPr>
          <w:rFonts w:ascii="Segoe UI" w:hAnsi="Segoe UI"/>
          <w:b w:val="0"/>
          <w:i w:val="0"/>
          <w:color w:val="1F2937"/>
          <w:sz w:val="19"/>
        </w:rPr>
        <w:t>: Shows the exact age (typically between age 78 and 82) where waiting until age 70 pays you more total cumulative cash than claiming early at age 62.</w:t>
      </w:r>
    </w:p>
    <w:p>
      <w:pPr>
        <w:pStyle w:val="ListBullet"/>
        <w:spacing w:before="20" w:after="40"/>
      </w:pPr>
      <w:r>
        <w:rPr>
          <w:rFonts w:ascii="Segoe UI" w:hAnsi="Segoe UI"/>
          <w:b/>
          <w:i w:val="0"/>
          <w:color w:val="1F2937"/>
          <w:sz w:val="19"/>
        </w:rPr>
        <w:t>Couples 81-Strategy Joint Optimizer</w:t>
      </w:r>
      <w:r>
        <w:rPr>
          <w:rFonts w:ascii="Segoe UI" w:hAnsi="Segoe UI"/>
          <w:b w:val="0"/>
          <w:i w:val="0"/>
          <w:color w:val="1F2937"/>
          <w:sz w:val="19"/>
        </w:rPr>
        <w:t>:</w:t>
      </w:r>
    </w:p>
    <w:p>
      <w:pPr>
        <w:pStyle w:val="ListBullet"/>
        <w:spacing w:before="20" w:after="40"/>
      </w:pPr>
      <w:r>
        <w:rPr>
          <w:rFonts w:ascii="Segoe UI" w:hAnsi="Segoe UI"/>
          <w:b w:val="0"/>
          <w:i w:val="0"/>
          <w:color w:val="1F2937"/>
          <w:sz w:val="19"/>
        </w:rPr>
        <w:t xml:space="preserve">For married couples, there are </w:t>
      </w:r>
      <w:r>
        <w:rPr>
          <w:rFonts w:ascii="Cambria Math" w:hAnsi="Cambria Math"/>
          <w:b w:val="0"/>
          <w:i/>
          <w:color w:val="4F46E5"/>
          <w:sz w:val="19"/>
        </w:rPr>
        <w:t>9 \times 9 = 81</w:t>
      </w:r>
      <w:r>
        <w:rPr>
          <w:rFonts w:ascii="Segoe UI" w:hAnsi="Segoe UI"/>
          <w:b w:val="0"/>
          <w:i w:val="0"/>
          <w:color w:val="1F2937"/>
          <w:sz w:val="19"/>
        </w:rPr>
        <w:t xml:space="preserve"> different combinations of claiming ages.</w:t>
      </w:r>
    </w:p>
    <w:p>
      <w:pPr>
        <w:pStyle w:val="ListBullet"/>
        <w:spacing w:before="20" w:after="40"/>
      </w:pPr>
      <w:r>
        <w:rPr>
          <w:rFonts w:ascii="Segoe UI" w:hAnsi="Segoe UI"/>
          <w:b w:val="0"/>
          <w:i w:val="0"/>
          <w:color w:val="1F2937"/>
          <w:sz w:val="19"/>
        </w:rPr>
        <w:t>Financho evaluates every combination across both partners' life expectancies, spousal top-up rules, and survivor protections.</w:t>
      </w:r>
    </w:p>
    <w:p>
      <w:pPr>
        <w:pStyle w:val="ListBullet"/>
        <w:spacing w:before="20" w:after="40"/>
      </w:pPr>
      <w:r>
        <w:rPr>
          <w:rFonts w:ascii="Segoe UI" w:hAnsi="Segoe UI"/>
          <w:b/>
          <w:i w:val="0"/>
          <w:color w:val="1F2937"/>
          <w:sz w:val="19"/>
        </w:rPr>
        <w:t>Interactive Heatmap</w:t>
      </w:r>
      <w:r>
        <w:rPr>
          <w:rFonts w:ascii="Segoe UI" w:hAnsi="Segoe UI"/>
          <w:b w:val="0"/>
          <w:i w:val="0"/>
          <w:color w:val="1F2937"/>
          <w:sz w:val="19"/>
        </w:rPr>
        <w:t>: Visualizes the best claiming combination to maximize total lifetime income for the household.</w:t>
      </w:r>
    </w:p>
    <w:p>
      <w:pPr>
        <w:pStyle w:val="ListBullet"/>
        <w:spacing w:before="20" w:after="40"/>
      </w:pPr>
      <w:r>
        <w:rPr>
          <w:rFonts w:ascii="Segoe UI" w:hAnsi="Segoe UI"/>
          <w:b/>
          <w:i w:val="0"/>
          <w:color w:val="1F2937"/>
          <w:sz w:val="19"/>
        </w:rPr>
        <w:t>Survivor Scenario Card</w:t>
      </w:r>
      <w:r>
        <w:rPr>
          <w:rFonts w:ascii="Segoe UI" w:hAnsi="Segoe UI"/>
          <w:b w:val="0"/>
          <w:i w:val="0"/>
          <w:color w:val="1F2937"/>
          <w:sz w:val="19"/>
        </w:rPr>
        <w:t>: Shows the guaranteed survivor income floor that protects the surviving spouse if the higher-earning partner passes away first.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16.6 Explorer 6: Withdrawal Strategy Comparison</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When you retire and need money to live on, which account should you pull from first? The order in which you withdraw funds across taxable, pre-tax, and Roth accounts dramatically impacts your lifetime taxes and how long your money lasts.</w:t>
      </w:r>
    </w:p>
    <w:p>
      <w:pPr>
        <w:keepNext/>
        <w:spacing w:before="240" w:after="80"/>
      </w:pPr>
      <w:r>
        <w:rPr>
          <w:rFonts w:ascii="Segoe UI" w:hAnsi="Segoe UI"/>
          <w:b/>
          <w:i w:val="0"/>
          <w:color w:val="0F172A"/>
          <w:sz w:val="25"/>
        </w:rPr>
        <w:t>The 4 Strategies Compared</w:t>
      </w:r>
    </w:p>
    <w:tbl>
      <w:tblPr>
        <w:tblW w:type="auto" w:w="0"/>
        <w:jc w:val="center"/>
        <w:tblLook w:firstColumn="1" w:firstRow="1" w:lastColumn="0" w:lastRow="0" w:noHBand="0" w:noVBand="1" w:val="04A0"/>
      </w:tblPr>
      <w:tblGrid>
        <w:gridCol w:w="3120"/>
        <w:gridCol w:w="3120"/>
        <w:gridCol w:w="3120"/>
      </w:tblGrid>
      <w:tr>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Strategy</w:t>
            </w:r>
          </w:p>
        </w:tc>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Withdrawal Order</w:t>
            </w:r>
          </w:p>
        </w:tc>
        <w:tc>
          <w:tcPr>
            <w:tcW w:type="dxa" w:w="3120"/>
            <w:tcMar>
              <w:top w:w="60" w:type="dxa"/>
              <w:bottom w:w="60" w:type="dxa"/>
              <w:left w:w="80" w:type="dxa"/>
              <w:right w:w="80" w:type="dxa"/>
            </w:tcMar>
            <w:shd w:fill="1E3A8A"/>
          </w:tcPr>
          <w:p>
            <w:pPr>
              <w:spacing w:before="40" w:after="40"/>
            </w:pPr>
            <w:r>
              <w:rPr>
                <w:rFonts w:ascii="Segoe UI" w:hAnsi="Segoe UI"/>
                <w:b/>
                <w:i w:val="0"/>
                <w:color w:val="FFFFFF"/>
                <w:sz w:val="18"/>
              </w:rPr>
              <w:t>Best Suited For</w:t>
            </w:r>
          </w:p>
        </w:tc>
      </w:tr>
      <w:tr>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Conventional (Taxable First)</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 xml:space="preserve">1. Taxable Accounts </w:t>
            </w:r>
            <w:r>
              <w:rPr>
                <w:rFonts w:ascii="Segoe UI" w:hAnsi="Segoe UI"/>
                <w:b w:val="0"/>
                <w:i w:val="0"/>
                <w:color w:val="1F2937"/>
                <w:sz w:val="17"/>
              </w:rPr>
              <w:t xml:space="preserve"> → </w:t>
            </w:r>
            <w:r>
              <w:rPr>
                <w:rFonts w:ascii="Segoe UI" w:hAnsi="Segoe UI"/>
                <w:b w:val="0"/>
                <w:i w:val="0"/>
                <w:color w:val="1F2937"/>
                <w:sz w:val="17"/>
              </w:rPr>
              <w:t xml:space="preserve"> 2. Pre-Tax (401k/IRA) </w:t>
            </w:r>
            <w:r>
              <w:rPr>
                <w:rFonts w:ascii="Segoe UI" w:hAnsi="Segoe UI"/>
                <w:b w:val="0"/>
                <w:i w:val="0"/>
                <w:color w:val="1F2937"/>
                <w:sz w:val="17"/>
              </w:rPr>
              <w:t xml:space="preserve"> → </w:t>
            </w:r>
            <w:r>
              <w:rPr>
                <w:rFonts w:ascii="Segoe UI" w:hAnsi="Segoe UI"/>
                <w:b w:val="0"/>
                <w:i w:val="0"/>
                <w:color w:val="1F2937"/>
                <w:sz w:val="17"/>
              </w:rPr>
              <w:t xml:space="preserve"> 3. Roth</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Retirees wanting simple tax deferral in early retirement years.</w:t>
            </w:r>
          </w:p>
        </w:tc>
      </w:tr>
      <w:tr>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Tax-Deferred First</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 xml:space="preserve">1. Pre-Tax (401k/IRA) </w:t>
            </w:r>
            <w:r>
              <w:rPr>
                <w:rFonts w:ascii="Segoe UI" w:hAnsi="Segoe UI"/>
                <w:b w:val="0"/>
                <w:i w:val="0"/>
                <w:color w:val="1F2937"/>
                <w:sz w:val="17"/>
              </w:rPr>
              <w:t xml:space="preserve"> → </w:t>
            </w:r>
            <w:r>
              <w:rPr>
                <w:rFonts w:ascii="Segoe UI" w:hAnsi="Segoe UI"/>
                <w:b w:val="0"/>
                <w:i w:val="0"/>
                <w:color w:val="1F2937"/>
                <w:sz w:val="17"/>
              </w:rPr>
              <w:t xml:space="preserve"> 2. Taxable </w:t>
            </w:r>
            <w:r>
              <w:rPr>
                <w:rFonts w:ascii="Segoe UI" w:hAnsi="Segoe UI"/>
                <w:b w:val="0"/>
                <w:i w:val="0"/>
                <w:color w:val="1F2937"/>
                <w:sz w:val="17"/>
              </w:rPr>
              <w:t xml:space="preserve"> → </w:t>
            </w:r>
            <w:r>
              <w:rPr>
                <w:rFonts w:ascii="Segoe UI" w:hAnsi="Segoe UI"/>
                <w:b w:val="0"/>
                <w:i w:val="0"/>
                <w:color w:val="1F2937"/>
                <w:sz w:val="17"/>
              </w:rPr>
              <w:t xml:space="preserve"> 3. Roth</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Retirees with large pre-tax balances who want to draw down traditional accounts early to reduce future RMDs.</w:t>
            </w:r>
          </w:p>
        </w:tc>
      </w:tr>
      <w:tr>
        <w:tc>
          <w:tcPr>
            <w:tcW w:type="dxa" w:w="3120"/>
            <w:tcMar>
              <w:top w:w="60" w:type="dxa"/>
              <w:bottom w:w="60" w:type="dxa"/>
              <w:left w:w="80" w:type="dxa"/>
              <w:right w:w="80" w:type="dxa"/>
            </w:tcMar>
            <w:shd w:fill="FFFFFF"/>
          </w:tcPr>
          <w:p>
            <w:pPr>
              <w:spacing w:before="40" w:after="40"/>
            </w:pPr>
            <w:r>
              <w:rPr>
                <w:rFonts w:ascii="Segoe UI" w:hAnsi="Segoe UI"/>
                <w:b/>
                <w:i w:val="0"/>
                <w:color w:val="1F2937"/>
                <w:sz w:val="17"/>
              </w:rPr>
              <w:t>Roth First</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 xml:space="preserve">1. Roth </w:t>
            </w:r>
            <w:r>
              <w:rPr>
                <w:rFonts w:ascii="Segoe UI" w:hAnsi="Segoe UI"/>
                <w:b w:val="0"/>
                <w:i w:val="0"/>
                <w:color w:val="1F2937"/>
                <w:sz w:val="17"/>
              </w:rPr>
              <w:t xml:space="preserve"> → </w:t>
            </w:r>
            <w:r>
              <w:rPr>
                <w:rFonts w:ascii="Segoe UI" w:hAnsi="Segoe UI"/>
                <w:b w:val="0"/>
                <w:i w:val="0"/>
                <w:color w:val="1F2937"/>
                <w:sz w:val="17"/>
              </w:rPr>
              <w:t xml:space="preserve"> 2. Taxable </w:t>
            </w:r>
            <w:r>
              <w:rPr>
                <w:rFonts w:ascii="Segoe UI" w:hAnsi="Segoe UI"/>
                <w:b w:val="0"/>
                <w:i w:val="0"/>
                <w:color w:val="1F2937"/>
                <w:sz w:val="17"/>
              </w:rPr>
              <w:t xml:space="preserve"> → </w:t>
            </w:r>
            <w:r>
              <w:rPr>
                <w:rFonts w:ascii="Segoe UI" w:hAnsi="Segoe UI"/>
                <w:b w:val="0"/>
                <w:i w:val="0"/>
                <w:color w:val="1F2937"/>
                <w:sz w:val="17"/>
              </w:rPr>
              <w:t xml:space="preserve"> 3. Pre-Tax</w:t>
            </w:r>
          </w:p>
        </w:tc>
        <w:tc>
          <w:tcPr>
            <w:tcW w:type="dxa" w:w="3120"/>
            <w:tcMar>
              <w:top w:w="60" w:type="dxa"/>
              <w:bottom w:w="60" w:type="dxa"/>
              <w:left w:w="80" w:type="dxa"/>
              <w:right w:w="80" w:type="dxa"/>
            </w:tcMar>
            <w:shd w:fill="FFFFFF"/>
          </w:tcPr>
          <w:p>
            <w:pPr>
              <w:spacing w:before="40" w:after="40"/>
            </w:pPr>
            <w:r>
              <w:rPr>
                <w:rFonts w:ascii="Segoe UI" w:hAnsi="Segoe UI"/>
                <w:b w:val="0"/>
                <w:i w:val="0"/>
                <w:color w:val="1F2937"/>
                <w:sz w:val="17"/>
              </w:rPr>
              <w:t>Rarely optimal; exhausts tax-free growth early.</w:t>
            </w:r>
          </w:p>
        </w:tc>
      </w:tr>
      <w:tr>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Conventional + Roth Conversions</w:t>
            </w:r>
          </w:p>
        </w:tc>
        <w:tc>
          <w:tcPr>
            <w:tcW w:type="dxa" w:w="3120"/>
            <w:tcMar>
              <w:top w:w="60" w:type="dxa"/>
              <w:bottom w:w="60" w:type="dxa"/>
              <w:left w:w="80" w:type="dxa"/>
              <w:right w:w="80" w:type="dxa"/>
            </w:tcMar>
            <w:shd w:fill="F8FAFC"/>
          </w:tcPr>
          <w:p>
            <w:pPr>
              <w:spacing w:before="40" w:after="40"/>
            </w:pPr>
            <w:r>
              <w:rPr>
                <w:rFonts w:ascii="Segoe UI" w:hAnsi="Segoe UI"/>
                <w:b w:val="0"/>
                <w:i w:val="0"/>
                <w:color w:val="1F2937"/>
                <w:sz w:val="17"/>
              </w:rPr>
              <w:t>Same order as Conventional, plus strategic Roth conversions filling low tax brackets along the way.</w:t>
            </w:r>
          </w:p>
        </w:tc>
        <w:tc>
          <w:tcPr>
            <w:tcW w:type="dxa" w:w="3120"/>
            <w:tcMar>
              <w:top w:w="60" w:type="dxa"/>
              <w:bottom w:w="60" w:type="dxa"/>
              <w:left w:w="80" w:type="dxa"/>
              <w:right w:w="80" w:type="dxa"/>
            </w:tcMar>
            <w:shd w:fill="F8FAFC"/>
          </w:tcPr>
          <w:p>
            <w:pPr>
              <w:spacing w:before="40" w:after="40"/>
            </w:pPr>
            <w:r>
              <w:rPr>
                <w:rFonts w:ascii="Segoe UI" w:hAnsi="Segoe UI"/>
                <w:b/>
                <w:i w:val="0"/>
                <w:color w:val="1F2937"/>
                <w:sz w:val="17"/>
              </w:rPr>
              <w:t>Recommended</w:t>
            </w:r>
            <w:r>
              <w:rPr>
                <w:rFonts w:ascii="Segoe UI" w:hAnsi="Segoe UI"/>
                <w:b w:val="0"/>
                <w:i w:val="0"/>
                <w:color w:val="1F2937"/>
                <w:sz w:val="17"/>
              </w:rPr>
              <w:t>: Maximizes lifetime tax savings and preserves the largest legacy wealth.</w:t>
            </w:r>
          </w:p>
        </w:tc>
      </w:tr>
    </w:tbl>
    <w:p>
      <w:pPr>
        <w:spacing w:before="0" w:after="80"/>
      </w:pPr>
    </w:p>
    <w:p>
      <w:pPr>
        <w:keepNext/>
        <w:spacing w:before="240" w:after="80"/>
      </w:pPr>
      <w:r>
        <w:rPr>
          <w:rFonts w:ascii="Segoe UI" w:hAnsi="Segoe UI"/>
          <w:b/>
          <w:i w:val="0"/>
          <w:color w:val="0F172A"/>
          <w:sz w:val="25"/>
        </w:rPr>
        <w:t>Visual Strategy Comparison</w:t>
      </w:r>
    </w:p>
    <w:p>
      <w:pPr>
        <w:pStyle w:val="ListBullet"/>
        <w:spacing w:before="20" w:after="40"/>
      </w:pPr>
      <w:r>
        <w:rPr>
          <w:rFonts w:ascii="Segoe UI" w:hAnsi="Segoe UI"/>
          <w:b/>
          <w:i w:val="0"/>
          <w:color w:val="1F2937"/>
          <w:sz w:val="19"/>
        </w:rPr>
        <w:t>Account Balance Area Chart</w:t>
      </w:r>
      <w:r>
        <w:rPr>
          <w:rFonts w:ascii="Segoe UI" w:hAnsi="Segoe UI"/>
          <w:b w:val="0"/>
          <w:i w:val="0"/>
          <w:color w:val="1F2937"/>
          <w:sz w:val="19"/>
        </w:rPr>
        <w:t>: Shows how your different account balances evolve over time under each strategy.</w:t>
      </w:r>
    </w:p>
    <w:p>
      <w:pPr>
        <w:pStyle w:val="ListBullet"/>
        <w:spacing w:before="20" w:after="40"/>
      </w:pPr>
      <w:r>
        <w:rPr>
          <w:rFonts w:ascii="Segoe UI" w:hAnsi="Segoe UI"/>
          <w:b/>
          <w:i w:val="0"/>
          <w:color w:val="1F2937"/>
          <w:sz w:val="19"/>
        </w:rPr>
        <w:t>Tax Savings Metric</w:t>
      </w:r>
      <w:r>
        <w:rPr>
          <w:rFonts w:ascii="Segoe UI" w:hAnsi="Segoe UI"/>
          <w:b w:val="0"/>
          <w:i w:val="0"/>
          <w:color w:val="1F2937"/>
          <w:sz w:val="19"/>
        </w:rPr>
        <w:t>: Directly displays the total dollar amount saved in lifetime taxes compared to the worst strategy.</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16.7 Explorer 7: Historical Backtest Stress-Testing</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Monte Carlo simulations use randomized mathematical paths. But what if you retired right into a real, historical financial disaster?</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Historical Backtest Explorer</w:t>
      </w:r>
      <w:r>
        <w:rPr>
          <w:rFonts w:ascii="Segoe UI" w:hAnsi="Segoe UI"/>
          <w:b w:val="0"/>
          <w:i w:val="0"/>
          <w:color w:val="1F2937"/>
          <w:sz w:val="19"/>
        </w:rPr>
        <w:t xml:space="preserve"> tests your exact plan against every rolling multi-decade window of actual US market returns and inflation on record, starting in 1926, including periods that overlapped well-known market disruptions such as the Great Depression, the 1970s stagflation era, the dot-com crash, and the 2008 financial crisis.</w:t>
      </w:r>
    </w:p>
    <w:p>
      <w:pPr>
        <w:keepNext/>
        <w:spacing w:before="240" w:after="80"/>
      </w:pPr>
      <w:r>
        <w:rPr>
          <w:rFonts w:ascii="Segoe UI" w:hAnsi="Segoe UI"/>
          <w:b/>
          <w:i w:val="0"/>
          <w:color w:val="0F172A"/>
          <w:sz w:val="25"/>
        </w:rPr>
        <w:t>How to Read the Results</w:t>
      </w:r>
    </w:p>
    <w:p>
      <w:pPr>
        <w:pStyle w:val="ListBullet"/>
        <w:spacing w:before="20" w:after="40"/>
      </w:pPr>
      <w:r>
        <w:rPr>
          <w:rFonts w:ascii="Segoe UI" w:hAnsi="Segoe UI"/>
          <w:b/>
          <w:i w:val="0"/>
          <w:color w:val="1F2937"/>
          <w:sz w:val="19"/>
        </w:rPr>
        <w:t>Historical Survival Rate</w:t>
      </w:r>
      <w:r>
        <w:rPr>
          <w:rFonts w:ascii="Segoe UI" w:hAnsi="Segoe UI"/>
          <w:b w:val="0"/>
          <w:i w:val="0"/>
          <w:color w:val="1F2937"/>
          <w:sz w:val="19"/>
        </w:rPr>
        <w:t>: The percentage of all historical starting years where your plan successfully survived through your life expectancy.</w:t>
      </w:r>
    </w:p>
    <w:p>
      <w:pPr>
        <w:pStyle w:val="ListBullet"/>
        <w:spacing w:before="20" w:after="40"/>
      </w:pPr>
      <w:r>
        <w:rPr>
          <w:rFonts w:ascii="Segoe UI" w:hAnsi="Segoe UI"/>
          <w:b/>
          <w:i w:val="0"/>
          <w:color w:val="1F2937"/>
          <w:sz w:val="19"/>
        </w:rPr>
        <w:t>Worst-Case Period</w:t>
      </w:r>
      <w:r>
        <w:rPr>
          <w:rFonts w:ascii="Segoe UI" w:hAnsi="Segoe UI"/>
          <w:b w:val="0"/>
          <w:i w:val="0"/>
          <w:color w:val="1F2937"/>
          <w:sz w:val="19"/>
        </w:rPr>
        <w:t>: Highlights the single worst historical starting year for your plan and shows how low your portfolio balance would have fallen. If your plan survives the worst period in American market history, you can have tremendous peace of mind.</w:t>
      </w:r>
    </w:p>
    <w:p>
      <w:pPr>
        <w:pStyle w:val="ListBullet"/>
        <w:spacing w:before="20" w:after="40"/>
      </w:pPr>
      <w:r>
        <w:rPr>
          <w:rFonts w:ascii="Segoe UI" w:hAnsi="Segoe UI"/>
          <w:b/>
          <w:i w:val="0"/>
          <w:color w:val="1F2937"/>
          <w:sz w:val="19"/>
        </w:rPr>
        <w:t>Best-Case Period</w:t>
      </w:r>
      <w:r>
        <w:rPr>
          <w:rFonts w:ascii="Segoe UI" w:hAnsi="Segoe UI"/>
          <w:b w:val="0"/>
          <w:i w:val="0"/>
          <w:color w:val="1F2937"/>
          <w:sz w:val="19"/>
        </w:rPr>
        <w:t>: Highlights the most favorable historical starting year, showing the upper end of what's realistically possible.</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16.8 Explorer 8: College Planning &amp; 529 Explorer</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Plan and optimize college funding for children or grandchildren without jeopardizing your own retirement solvency.</w:t>
      </w:r>
    </w:p>
    <w:p>
      <w:pPr>
        <w:keepNext/>
        <w:spacing w:before="240" w:after="80"/>
      </w:pPr>
      <w:r>
        <w:rPr>
          <w:rFonts w:ascii="Segoe UI" w:hAnsi="Segoe UI"/>
          <w:b/>
          <w:i w:val="0"/>
          <w:color w:val="0F172A"/>
          <w:sz w:val="25"/>
        </w:rPr>
        <w:t>Key Features</w:t>
      </w:r>
    </w:p>
    <w:p>
      <w:pPr>
        <w:pStyle w:val="ListBullet"/>
        <w:spacing w:before="20" w:after="40"/>
      </w:pPr>
      <w:r>
        <w:rPr>
          <w:rFonts w:ascii="Segoe UI" w:hAnsi="Segoe UI"/>
          <w:b/>
          <w:i w:val="0"/>
          <w:color w:val="1F2937"/>
          <w:sz w:val="19"/>
        </w:rPr>
        <w:t>Child Profile Cards</w:t>
      </w:r>
      <w:r>
        <w:rPr>
          <w:rFonts w:ascii="Segoe UI" w:hAnsi="Segoe UI"/>
          <w:b w:val="0"/>
          <w:i w:val="0"/>
          <w:color w:val="1F2937"/>
          <w:sz w:val="19"/>
        </w:rPr>
        <w:t>: Add each child's name, current age, and planned college start age.</w:t>
      </w:r>
    </w:p>
    <w:p>
      <w:pPr>
        <w:pStyle w:val="ListBullet"/>
        <w:spacing w:before="20" w:after="40"/>
      </w:pPr>
      <w:r>
        <w:rPr>
          <w:rFonts w:ascii="Segoe UI" w:hAnsi="Segoe UI"/>
          <w:b/>
          <w:i w:val="0"/>
          <w:color w:val="1F2937"/>
          <w:sz w:val="19"/>
        </w:rPr>
        <w:t>National Cost Benchmarks</w:t>
      </w:r>
      <w:r>
        <w:rPr>
          <w:rFonts w:ascii="Segoe UI" w:hAnsi="Segoe UI"/>
          <w:b w:val="0"/>
          <w:i w:val="0"/>
          <w:color w:val="1F2937"/>
          <w:sz w:val="19"/>
        </w:rPr>
        <w:t>: Select with a single click:</w:t>
      </w:r>
    </w:p>
    <w:p>
      <w:pPr>
        <w:pStyle w:val="ListBullet"/>
        <w:spacing w:before="20" w:after="40"/>
      </w:pPr>
      <w:r>
        <w:rPr>
          <w:rFonts w:ascii="Segoe UI" w:hAnsi="Segoe UI"/>
          <w:b w:val="0"/>
          <w:i w:val="0"/>
          <w:color w:val="1F2937"/>
          <w:sz w:val="19"/>
        </w:rPr>
        <w:t>Public In-State University (Average: $30,000/year)</w:t>
      </w:r>
    </w:p>
    <w:p>
      <w:pPr>
        <w:pStyle w:val="ListBullet"/>
        <w:spacing w:before="20" w:after="40"/>
      </w:pPr>
      <w:r>
        <w:rPr>
          <w:rFonts w:ascii="Segoe UI" w:hAnsi="Segoe UI"/>
          <w:b w:val="0"/>
          <w:i w:val="0"/>
          <w:color w:val="1F2937"/>
          <w:sz w:val="19"/>
        </w:rPr>
        <w:t>Public Out-of-State University (Average: $48,000/year)</w:t>
      </w:r>
    </w:p>
    <w:p>
      <w:pPr>
        <w:pStyle w:val="ListBullet"/>
        <w:spacing w:before="20" w:after="40"/>
      </w:pPr>
      <w:r>
        <w:rPr>
          <w:rFonts w:ascii="Segoe UI" w:hAnsi="Segoe UI"/>
          <w:b w:val="0"/>
          <w:i w:val="0"/>
          <w:color w:val="1F2937"/>
          <w:sz w:val="19"/>
        </w:rPr>
        <w:t>Private College or University (Average: $62,000/year)</w:t>
      </w:r>
    </w:p>
    <w:p>
      <w:pPr>
        <w:pStyle w:val="ListBullet"/>
        <w:spacing w:before="20" w:after="40"/>
      </w:pPr>
      <w:r>
        <w:rPr>
          <w:rFonts w:ascii="Segoe UI" w:hAnsi="Segoe UI"/>
          <w:b/>
          <w:i w:val="0"/>
          <w:color w:val="1F2937"/>
          <w:sz w:val="19"/>
        </w:rPr>
        <w:t>529 Plan Growth Projections</w:t>
      </w:r>
      <w:r>
        <w:rPr>
          <w:rFonts w:ascii="Segoe UI" w:hAnsi="Segoe UI"/>
          <w:b w:val="0"/>
          <w:i w:val="0"/>
          <w:color w:val="1F2937"/>
          <w:sz w:val="19"/>
        </w:rPr>
        <w:t>: Models monthly contributions, investment growth, and rising college tuition inflation (default: 5.0%).</w:t>
      </w:r>
    </w:p>
    <w:p>
      <w:pPr>
        <w:pStyle w:val="ListBullet"/>
        <w:spacing w:before="20" w:after="40"/>
      </w:pPr>
      <w:r>
        <w:rPr>
          <w:rFonts w:ascii="Segoe UI" w:hAnsi="Segoe UI"/>
          <w:b/>
          <w:i w:val="0"/>
          <w:color w:val="1F2937"/>
          <w:sz w:val="19"/>
        </w:rPr>
        <w:t>Funding Gap Analysis</w:t>
      </w:r>
      <w:r>
        <w:rPr>
          <w:rFonts w:ascii="Segoe UI" w:hAnsi="Segoe UI"/>
          <w:b w:val="0"/>
          <w:i w:val="0"/>
          <w:color w:val="1F2937"/>
          <w:sz w:val="19"/>
        </w:rPr>
        <w:t>: Shows whether each child is 100% funded, overfunded, or has a projected shortfall.</w:t>
      </w:r>
    </w:p>
    <w:p>
      <w:pPr>
        <w:pStyle w:val="ListBullet"/>
        <w:spacing w:before="20" w:after="40"/>
      </w:pPr>
      <w:r>
        <w:rPr>
          <w:rFonts w:ascii="Segoe UI" w:hAnsi="Segoe UI"/>
          <w:b/>
          <w:i w:val="0"/>
          <w:color w:val="1F2937"/>
          <w:sz w:val="19"/>
        </w:rPr>
        <w:t>State Tax Deduction &amp; Credit Savings</w:t>
      </w:r>
      <w:r>
        <w:rPr>
          <w:rFonts w:ascii="Segoe UI" w:hAnsi="Segoe UI"/>
          <w:b w:val="0"/>
          <w:i w:val="0"/>
          <w:color w:val="1F2937"/>
          <w:sz w:val="19"/>
        </w:rPr>
        <w:t>: Calculates your state income tax savings based on your state of residence (including special tax credits in states like Indiana, Oregon, and Vermont).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16.9 Explorer 9: Emergency Access &amp; Family Safeguard</w:t>
      </w:r>
    </w:p>
    <w:p>
      <w:pPr>
        <w:keepNext/>
        <w:spacing w:before="240" w:after="80"/>
      </w:pPr>
      <w:r>
        <w:rPr>
          <w:rFonts w:ascii="Segoe UI" w:hAnsi="Segoe UI"/>
          <w:b/>
          <w:i w:val="0"/>
          <w:color w:val="0F172A"/>
          <w:sz w:val="25"/>
        </w:rPr>
        <w:t>Purpose</w:t>
      </w:r>
    </w:p>
    <w:p>
      <w:pPr>
        <w:spacing w:before="40" w:after="80" w:line="276" w:lineRule="auto"/>
      </w:pPr>
      <w:r>
        <w:rPr>
          <w:rFonts w:ascii="Segoe UI" w:hAnsi="Segoe UI"/>
          <w:b w:val="0"/>
          <w:i w:val="0"/>
          <w:color w:val="1F2937"/>
          <w:sz w:val="19"/>
        </w:rPr>
        <w:t>If an unexpected emergency, illness, or death occurs, your spouse, adult children, or trusted family representative need immediate, secure access to your financial plan without risking your day-to-day account security.</w:t>
      </w:r>
    </w:p>
    <w:p>
      <w:pPr>
        <w:keepNext/>
        <w:spacing w:before="240" w:after="80"/>
      </w:pPr>
      <w:r>
        <w:rPr>
          <w:rFonts w:ascii="Segoe UI" w:hAnsi="Segoe UI"/>
          <w:b/>
          <w:i w:val="0"/>
          <w:color w:val="0F172A"/>
          <w:sz w:val="25"/>
        </w:rPr>
        <w:t>How the Break-Glass System Works</w:t>
      </w:r>
    </w:p>
    <w:p>
      <w:pPr>
        <w:pStyle w:val="ListNumber"/>
        <w:spacing w:before="20" w:after="40"/>
      </w:pPr>
      <w:r>
        <w:rPr>
          <w:rFonts w:ascii="Segoe UI" w:hAnsi="Segoe UI"/>
          <w:b/>
          <w:i w:val="0"/>
          <w:color w:val="1F2937"/>
          <w:sz w:val="19"/>
        </w:rPr>
        <w:t>The 20-Character Emergency Code</w:t>
      </w:r>
      <w:r>
        <w:rPr>
          <w:rFonts w:ascii="Segoe UI" w:hAnsi="Segoe UI"/>
          <w:b w:val="0"/>
          <w:i w:val="0"/>
          <w:color w:val="1F2937"/>
          <w:sz w:val="19"/>
        </w:rPr>
        <w:t xml:space="preserve">: Financho generates a unique 20-character emergency code (e.g., </w:t>
      </w:r>
      <w:r>
        <w:rPr>
          <w:rFonts w:ascii="Consolas" w:hAnsi="Consolas"/>
          <w:b w:val="0"/>
          <w:i w:val="0"/>
          <w:color w:val="2563EB"/>
          <w:sz w:val="18"/>
        </w:rPr>
        <w:t>AB3X9-KM82P-WQ74Y-5ZT12</w:t>
      </w:r>
      <w:r>
        <w:rPr>
          <w:rFonts w:ascii="Segoe UI" w:hAnsi="Segoe UI"/>
          <w:b w:val="0"/>
          <w:i w:val="0"/>
          <w:color w:val="1F2937"/>
          <w:sz w:val="19"/>
        </w:rPr>
        <w:t>). Store this code with your estate planning documents or give it to your designated representative.</w:t>
      </w:r>
    </w:p>
    <w:p>
      <w:pPr>
        <w:pStyle w:val="ListNumber"/>
        <w:spacing w:before="20" w:after="40"/>
      </w:pPr>
      <w:r>
        <w:rPr>
          <w:rFonts w:ascii="Segoe UI" w:hAnsi="Segoe UI"/>
          <w:b/>
          <w:i w:val="0"/>
          <w:color w:val="1F2937"/>
          <w:sz w:val="19"/>
        </w:rPr>
        <w:t>The Emergency Roadmap</w:t>
      </w:r>
      <w:r>
        <w:rPr>
          <w:rFonts w:ascii="Segoe UI" w:hAnsi="Segoe UI"/>
          <w:b w:val="0"/>
          <w:i w:val="0"/>
          <w:color w:val="1F2937"/>
          <w:sz w:val="19"/>
        </w:rPr>
        <w:t xml:space="preserve">: Write personal notes, instructions, and list primary account locations in the </w:t>
      </w:r>
      <w:r>
        <w:rPr>
          <w:rFonts w:ascii="Segoe UI" w:hAnsi="Segoe UI"/>
          <w:b/>
          <w:i w:val="0"/>
          <w:color w:val="1F2937"/>
          <w:sz w:val="19"/>
        </w:rPr>
        <w:t>Emergency Financial Roadmap</w:t>
      </w:r>
      <w:r>
        <w:rPr>
          <w:rFonts w:ascii="Segoe UI" w:hAnsi="Segoe UI"/>
          <w:b w:val="0"/>
          <w:i w:val="0"/>
          <w:color w:val="1F2937"/>
          <w:sz w:val="19"/>
        </w:rPr>
        <w:t xml:space="preserve"> editor.</w:t>
      </w:r>
    </w:p>
    <w:p>
      <w:pPr>
        <w:pStyle w:val="ListNumber"/>
        <w:spacing w:before="20" w:after="40"/>
      </w:pPr>
      <w:r>
        <w:rPr>
          <w:rFonts w:ascii="Segoe UI" w:hAnsi="Segoe UI"/>
          <w:b/>
          <w:i w:val="0"/>
          <w:color w:val="1F2937"/>
          <w:sz w:val="19"/>
        </w:rPr>
        <w:t>Claiming Access</w:t>
      </w:r>
      <w:r>
        <w:rPr>
          <w:rFonts w:ascii="Segoe UI" w:hAnsi="Segoe UI"/>
          <w:b w:val="0"/>
          <w:i w:val="0"/>
          <w:color w:val="1F2937"/>
          <w:sz w:val="19"/>
        </w:rPr>
        <w:t>: In an emergency, your trusted contact visits the secure Emergency Portal and enters the code.</w:t>
      </w:r>
    </w:p>
    <w:p>
      <w:pPr>
        <w:pStyle w:val="ListNumber"/>
        <w:spacing w:before="20" w:after="40"/>
      </w:pPr>
      <w:r>
        <w:rPr>
          <w:rFonts w:ascii="Segoe UI" w:hAnsi="Segoe UI"/>
          <w:b/>
          <w:i w:val="0"/>
          <w:color w:val="1F2937"/>
          <w:sz w:val="19"/>
        </w:rPr>
        <w:t>Mandatory 24-Hour Security Delay</w:t>
      </w:r>
      <w:r>
        <w:rPr>
          <w:rFonts w:ascii="Segoe UI" w:hAnsi="Segoe UI"/>
          <w:b w:val="0"/>
          <w:i w:val="0"/>
          <w:color w:val="1F2937"/>
          <w:sz w:val="19"/>
        </w:rPr>
        <w:t>:</w:t>
      </w:r>
    </w:p>
    <w:p>
      <w:pPr>
        <w:pStyle w:val="ListBullet"/>
        <w:spacing w:before="20" w:after="40"/>
      </w:pPr>
      <w:r>
        <w:rPr>
          <w:rFonts w:ascii="Segoe UI" w:hAnsi="Segoe UI"/>
          <w:b w:val="0"/>
          <w:i w:val="0"/>
          <w:color w:val="1F2937"/>
          <w:sz w:val="19"/>
        </w:rPr>
        <w:t>The moment a claim is entered, Financho immediately sends emergency text messages (SMS) and emails to you.</w:t>
      </w:r>
    </w:p>
    <w:p>
      <w:pPr>
        <w:pStyle w:val="ListBullet"/>
        <w:spacing w:before="20" w:after="40"/>
      </w:pPr>
      <w:r>
        <w:rPr>
          <w:rFonts w:ascii="Segoe UI" w:hAnsi="Segoe UI"/>
          <w:b w:val="0"/>
          <w:i w:val="0"/>
          <w:color w:val="1F2937"/>
          <w:sz w:val="19"/>
        </w:rPr>
        <w:t xml:space="preserve">Access is locked for a mandatory </w:t>
      </w:r>
      <w:r>
        <w:rPr>
          <w:rFonts w:ascii="Segoe UI" w:hAnsi="Segoe UI"/>
          <w:b/>
          <w:i w:val="0"/>
          <w:color w:val="1F2937"/>
          <w:sz w:val="19"/>
        </w:rPr>
        <w:t>24-hour security window</w:t>
      </w:r>
      <w:r>
        <w:rPr>
          <w:rFonts w:ascii="Segoe UI" w:hAnsi="Segoe UI"/>
          <w:b w:val="0"/>
          <w:i w:val="0"/>
          <w:color w:val="1F2937"/>
          <w:sz w:val="19"/>
        </w:rPr>
        <w:t>.</w:t>
      </w:r>
    </w:p>
    <w:p>
      <w:pPr>
        <w:pStyle w:val="ListBullet"/>
        <w:spacing w:before="20" w:after="40"/>
      </w:pPr>
      <w:r>
        <w:rPr>
          <w:rFonts w:ascii="Segoe UI" w:hAnsi="Segoe UI"/>
          <w:b w:val="0"/>
          <w:i w:val="0"/>
          <w:color w:val="1F2937"/>
          <w:sz w:val="19"/>
        </w:rPr>
        <w:t>If this was an unauthorized attempt, you can cancel it with a single click from your phone, immediately invalidating the code.</w:t>
      </w:r>
    </w:p>
    <w:p>
      <w:pPr>
        <w:pStyle w:val="ListBullet"/>
        <w:spacing w:before="20" w:after="40"/>
      </w:pPr>
      <w:r>
        <w:rPr>
          <w:rFonts w:ascii="Segoe UI" w:hAnsi="Segoe UI"/>
          <w:b w:val="0"/>
          <w:i w:val="0"/>
          <w:color w:val="1F2937"/>
          <w:sz w:val="19"/>
        </w:rPr>
        <w:t>At hour 12, a reminder alert is sent.</w:t>
      </w:r>
    </w:p>
    <w:p>
      <w:pPr>
        <w:pStyle w:val="ListNumber"/>
        <w:spacing w:before="20" w:after="40"/>
      </w:pPr>
      <w:r>
        <w:rPr>
          <w:rFonts w:ascii="Segoe UI" w:hAnsi="Segoe UI"/>
          <w:b/>
          <w:i w:val="0"/>
          <w:color w:val="1F2937"/>
          <w:sz w:val="19"/>
        </w:rPr>
        <w:t>Read-Only Emergency Access</w:t>
      </w:r>
      <w:r>
        <w:rPr>
          <w:rFonts w:ascii="Segoe UI" w:hAnsi="Segoe UI"/>
          <w:b w:val="0"/>
          <w:i w:val="0"/>
          <w:color w:val="1F2937"/>
          <w:sz w:val="19"/>
        </w:rPr>
        <w:t>: If 24 hours pass without cancellation, your contact receives read-only access to your plan and Emergency Roadmap, guided by the AI Assistant to help them manage household finances.</w:t>
      </w:r>
    </w:p>
    <w:p>
      <w:r>
        <w:br w:type="page"/>
      </w:r>
    </w:p>
    <w:p>
      <w:pPr>
        <w:keepNext/>
        <w:spacing w:before="440" w:after="160"/>
      </w:pPr>
      <w:r>
        <w:rPr>
          <w:rFonts w:ascii="Segoe UI" w:hAnsi="Segoe UI"/>
          <w:b/>
          <w:i w:val="0"/>
          <w:color w:val="1E3A8A"/>
          <w:sz w:val="40"/>
        </w:rPr>
        <w:t>CHAPTER 17: How Financho Calculates Your Taxes (A Plain-English Guide)</w:t>
      </w:r>
    </w:p>
    <w:p>
      <w:pPr>
        <w:spacing w:before="40" w:after="80" w:line="276" w:lineRule="auto"/>
      </w:pPr>
      <w:r>
        <w:rPr>
          <w:rFonts w:ascii="Segoe UI" w:hAnsi="Segoe UI"/>
          <w:b w:val="0"/>
          <w:i w:val="0"/>
          <w:color w:val="1F2937"/>
          <w:sz w:val="19"/>
        </w:rPr>
        <w:t>Taxes represent one of the largest expenses in retirement. Unlike calculators that use an arbitrary "effective tax rate" (such as 15% or 20%), Financho implements the actual tax code to calculate your liability accurately.</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17.1 The 2026 Federal Income Tax System</w:t>
      </w:r>
    </w:p>
    <w:p>
      <w:pPr>
        <w:keepNext/>
        <w:spacing w:before="240" w:after="80"/>
      </w:pPr>
      <w:r>
        <w:rPr>
          <w:rFonts w:ascii="Segoe UI" w:hAnsi="Segoe UI"/>
          <w:b/>
          <w:i w:val="0"/>
          <w:color w:val="0F172A"/>
          <w:sz w:val="25"/>
        </w:rPr>
        <w:t>1. Progressive Ordinary Income Tax Brackets</w:t>
      </w:r>
    </w:p>
    <w:p>
      <w:pPr>
        <w:spacing w:before="40" w:after="80" w:line="276" w:lineRule="auto"/>
      </w:pPr>
      <w:r>
        <w:rPr>
          <w:rFonts w:ascii="Segoe UI" w:hAnsi="Segoe UI"/>
          <w:b w:val="0"/>
          <w:i w:val="0"/>
          <w:color w:val="1F2937"/>
          <w:sz w:val="19"/>
        </w:rPr>
        <w:t>Your ordinary income (work salary, traditional 401(k)/IRA withdrawals, pensions, and taxable Social Security) flows through progressive tax brackets (10%, 12%, 22%, 24%, 32%, 35%, and 37%). You only pay the higher percentage on dollars that fall within that specific bracket—not your entire income.</w:t>
      </w:r>
    </w:p>
    <w:p>
      <w:pPr>
        <w:keepNext/>
        <w:spacing w:before="240" w:after="80"/>
      </w:pPr>
      <w:r>
        <w:rPr>
          <w:rFonts w:ascii="Segoe UI" w:hAnsi="Segoe UI"/>
          <w:b/>
          <w:i w:val="0"/>
          <w:color w:val="0F172A"/>
          <w:sz w:val="25"/>
        </w:rPr>
        <w:t>2. Standard Deductions &amp; Age 65+ Senior Bonus</w:t>
      </w:r>
    </w:p>
    <w:p>
      <w:pPr>
        <w:spacing w:before="40" w:after="80" w:line="276" w:lineRule="auto"/>
      </w:pPr>
      <w:r>
        <w:rPr>
          <w:rFonts w:ascii="Segoe UI" w:hAnsi="Segoe UI"/>
          <w:b w:val="0"/>
          <w:i w:val="0"/>
          <w:color w:val="1F2937"/>
          <w:sz w:val="19"/>
        </w:rPr>
        <w:t>Before any tax is calculated, your income is reduced by the standard deduction:</w:t>
      </w:r>
    </w:p>
    <w:p>
      <w:pPr>
        <w:pStyle w:val="ListBullet"/>
        <w:spacing w:before="20" w:after="40"/>
      </w:pPr>
      <w:r>
        <w:rPr>
          <w:rFonts w:ascii="Segoe UI" w:hAnsi="Segoe UI"/>
          <w:b/>
          <w:i w:val="0"/>
          <w:color w:val="1F2937"/>
          <w:sz w:val="19"/>
        </w:rPr>
        <w:t>Base Standard Deduction</w:t>
      </w:r>
      <w:r>
        <w:rPr>
          <w:rFonts w:ascii="Segoe UI" w:hAnsi="Segoe UI"/>
          <w:b w:val="0"/>
          <w:i w:val="0"/>
          <w:color w:val="1F2937"/>
          <w:sz w:val="19"/>
        </w:rPr>
        <w:t xml:space="preserve">: </w:t>
      </w:r>
      <w:r>
        <w:rPr>
          <w:rFonts w:ascii="Cambria Math" w:hAnsi="Cambria Math"/>
          <w:b w:val="0"/>
          <w:i/>
          <w:color w:val="4F46E5"/>
          <w:sz w:val="19"/>
        </w:rPr>
        <w:t xml:space="preserve">16,100 for Single filers, </w:t>
      </w:r>
      <w:r>
        <w:rPr>
          <w:rFonts w:ascii="Segoe UI" w:hAnsi="Segoe UI"/>
          <w:b w:val="0"/>
          <w:i w:val="0"/>
          <w:color w:val="1F2937"/>
          <w:sz w:val="19"/>
        </w:rPr>
        <w:t>32,200 for Married Filing Jointly.</w:t>
      </w:r>
    </w:p>
    <w:p>
      <w:pPr>
        <w:pStyle w:val="ListBullet"/>
        <w:spacing w:before="20" w:after="40"/>
      </w:pPr>
      <w:r>
        <w:rPr>
          <w:rFonts w:ascii="Segoe UI" w:hAnsi="Segoe UI"/>
          <w:b/>
          <w:i w:val="0"/>
          <w:color w:val="1F2937"/>
          <w:sz w:val="19"/>
        </w:rPr>
        <w:t>Senior Add-On Deduction</w:t>
      </w:r>
      <w:r>
        <w:rPr>
          <w:rFonts w:ascii="Segoe UI" w:hAnsi="Segoe UI"/>
          <w:b w:val="0"/>
          <w:i w:val="0"/>
          <w:color w:val="1F2937"/>
          <w:sz w:val="19"/>
        </w:rPr>
        <w:t>: When you reach age 65, you receive an additional tax deduction (</w:t>
      </w:r>
      <w:r>
        <w:rPr>
          <w:rFonts w:ascii="Cambria Math" w:hAnsi="Cambria Math"/>
          <w:b w:val="0"/>
          <w:i/>
          <w:color w:val="4F46E5"/>
          <w:sz w:val="19"/>
        </w:rPr>
        <w:t xml:space="preserve">2,050 for Single filers, </w:t>
      </w:r>
      <w:r>
        <w:rPr>
          <w:rFonts w:ascii="Segoe UI" w:hAnsi="Segoe UI"/>
          <w:b w:val="0"/>
          <w:i w:val="0"/>
          <w:color w:val="1F2937"/>
          <w:sz w:val="19"/>
        </w:rPr>
        <w:t>1,650 per spouse for Married couples), protecting more of your retirement income from tax.</w:t>
      </w:r>
    </w:p>
    <w:p>
      <w:pPr>
        <w:pStyle w:val="ListBullet"/>
        <w:spacing w:before="20" w:after="40"/>
      </w:pPr>
      <w:r>
        <w:rPr>
          <w:rFonts w:ascii="Segoe UI" w:hAnsi="Segoe UI"/>
          <w:b/>
          <w:i w:val="0"/>
          <w:color w:val="1F2937"/>
          <w:sz w:val="19"/>
        </w:rPr>
        <w:t>Temporary Senior Relief</w:t>
      </w:r>
      <w:r>
        <w:rPr>
          <w:rFonts w:ascii="Segoe UI" w:hAnsi="Segoe UI"/>
          <w:b w:val="0"/>
          <w:i w:val="0"/>
          <w:color w:val="1F2937"/>
          <w:sz w:val="19"/>
        </w:rPr>
        <w:t>: Incorporates the additional senior deduction relief under the 2025/2026 tax provisions.</w:t>
      </w:r>
    </w:p>
    <w:p>
      <w:pPr>
        <w:keepNext/>
        <w:spacing w:before="240" w:after="80"/>
      </w:pPr>
      <w:r>
        <w:rPr>
          <w:rFonts w:ascii="Segoe UI" w:hAnsi="Segoe UI"/>
          <w:b/>
          <w:i w:val="0"/>
          <w:color w:val="0F172A"/>
          <w:sz w:val="25"/>
        </w:rPr>
        <w:t>3. FICA Payroll Taxes</w:t>
      </w:r>
    </w:p>
    <w:p>
      <w:pPr>
        <w:spacing w:before="40" w:after="80" w:line="276" w:lineRule="auto"/>
      </w:pPr>
      <w:r>
        <w:rPr>
          <w:rFonts w:ascii="Segoe UI" w:hAnsi="Segoe UI"/>
          <w:b w:val="0"/>
          <w:i w:val="0"/>
          <w:color w:val="1F2937"/>
          <w:sz w:val="19"/>
        </w:rPr>
        <w:t>Applied strictly to earned work wages and active salary (never to retirement withdrawals, pensions, or investments):</w:t>
      </w:r>
    </w:p>
    <w:p>
      <w:pPr>
        <w:pStyle w:val="ListBullet"/>
        <w:spacing w:before="20" w:after="40"/>
      </w:pPr>
      <w:r>
        <w:rPr>
          <w:rFonts w:ascii="Segoe UI" w:hAnsi="Segoe UI"/>
          <w:b w:val="0"/>
          <w:i w:val="0"/>
          <w:color w:val="1F2937"/>
          <w:sz w:val="19"/>
        </w:rPr>
        <w:t>Social Security tax: 6.2% up to the annual wage cap ($184,500 for 2026).</w:t>
      </w:r>
    </w:p>
    <w:p>
      <w:pPr>
        <w:pStyle w:val="ListBullet"/>
        <w:spacing w:before="20" w:after="40"/>
      </w:pPr>
      <w:r>
        <w:rPr>
          <w:rFonts w:ascii="Segoe UI" w:hAnsi="Segoe UI"/>
          <w:b w:val="0"/>
          <w:i w:val="0"/>
          <w:color w:val="1F2937"/>
          <w:sz w:val="19"/>
        </w:rPr>
        <w:t>Medicare tax: 1.45% on all earnings, plus a 0.9% additional surtax on high earners.</w:t>
      </w:r>
    </w:p>
    <w:p>
      <w:pPr>
        <w:keepNext/>
        <w:spacing w:before="240" w:after="80"/>
      </w:pPr>
      <w:r>
        <w:rPr>
          <w:rFonts w:ascii="Segoe UI" w:hAnsi="Segoe UI"/>
          <w:b/>
          <w:i w:val="0"/>
          <w:color w:val="0F172A"/>
          <w:sz w:val="25"/>
        </w:rPr>
        <w:t>4. Preferential Capital Gains &amp; Dividend Stacking</w:t>
      </w:r>
    </w:p>
    <w:p>
      <w:pPr>
        <w:spacing w:before="40" w:after="80" w:line="276" w:lineRule="auto"/>
      </w:pPr>
      <w:r>
        <w:rPr>
          <w:rFonts w:ascii="Segoe UI" w:hAnsi="Segoe UI"/>
          <w:b w:val="0"/>
          <w:i w:val="0"/>
          <w:color w:val="1F2937"/>
          <w:sz w:val="19"/>
        </w:rPr>
        <w:t>Long-term capital gains and qualified dividends are taxed at lower rates (0%, 15%, or 20%). Under IRS rules, these gains are stacked on top of your ordinary income:</w:t>
      </w:r>
    </w:p>
    <w:p>
      <w:pPr>
        <w:pStyle w:val="ListBullet"/>
        <w:spacing w:before="20" w:after="40"/>
      </w:pPr>
      <w:r>
        <w:rPr>
          <w:rFonts w:ascii="Segoe UI" w:hAnsi="Segoe UI"/>
          <w:b w:val="0"/>
          <w:i w:val="0"/>
          <w:color w:val="1F2937"/>
          <w:sz w:val="19"/>
        </w:rPr>
        <w:t xml:space="preserve">If your ordinary income is low, your capital gains can fall into the </w:t>
      </w:r>
      <w:r>
        <w:rPr>
          <w:rFonts w:ascii="Segoe UI" w:hAnsi="Segoe UI"/>
          <w:b/>
          <w:i w:val="0"/>
          <w:color w:val="1F2937"/>
          <w:sz w:val="19"/>
        </w:rPr>
        <w:t>0% tax bracket</w:t>
      </w:r>
      <w:r>
        <w:rPr>
          <w:rFonts w:ascii="Segoe UI" w:hAnsi="Segoe UI"/>
          <w:b w:val="0"/>
          <w:i w:val="0"/>
          <w:color w:val="1F2937"/>
          <w:sz w:val="19"/>
        </w:rPr>
        <w:t>, allowing you to withdraw investment gains completely tax-free!</w:t>
      </w:r>
    </w:p>
    <w:p>
      <w:pPr>
        <w:pStyle w:val="ListBullet"/>
        <w:spacing w:before="20" w:after="40"/>
      </w:pPr>
      <w:r>
        <w:rPr>
          <w:rFonts w:ascii="Segoe UI" w:hAnsi="Segoe UI"/>
          <w:b w:val="0"/>
          <w:i w:val="0"/>
          <w:color w:val="1F2937"/>
          <w:sz w:val="19"/>
        </w:rPr>
        <w:t>If your ordinary income is higher, gains are taxed at 15% or 20%.</w:t>
      </w:r>
    </w:p>
    <w:p>
      <w:pPr>
        <w:pStyle w:val="ListBullet"/>
        <w:spacing w:before="20" w:after="40"/>
      </w:pPr>
      <w:r>
        <w:rPr>
          <w:rFonts w:ascii="Segoe UI" w:hAnsi="Segoe UI"/>
          <w:b w:val="0"/>
          <w:i w:val="0"/>
          <w:color w:val="1F2937"/>
          <w:sz w:val="19"/>
        </w:rPr>
        <w:t xml:space="preserve">High earners with Modified Adjusted Gross Income over </w:t>
      </w:r>
      <w:r>
        <w:rPr>
          <w:rFonts w:ascii="Cambria Math" w:hAnsi="Cambria Math"/>
          <w:b w:val="0"/>
          <w:i/>
          <w:color w:val="4F46E5"/>
          <w:sz w:val="19"/>
        </w:rPr>
        <w:t xml:space="preserve">200,000 (Single) or </w:t>
      </w:r>
      <w:r>
        <w:rPr>
          <w:rFonts w:ascii="Segoe UI" w:hAnsi="Segoe UI"/>
          <w:b w:val="0"/>
          <w:i w:val="0"/>
          <w:color w:val="1F2937"/>
          <w:sz w:val="19"/>
        </w:rPr>
        <w:t>250,000 (Married) may be subject to the 3.8% Net Investment Income Tax (NIIT).</w:t>
      </w:r>
    </w:p>
    <w:p>
      <w:pPr>
        <w:keepNext/>
        <w:spacing w:before="240" w:after="80"/>
      </w:pPr>
      <w:r>
        <w:rPr>
          <w:rFonts w:ascii="Segoe UI" w:hAnsi="Segoe UI"/>
          <w:b/>
          <w:i w:val="0"/>
          <w:color w:val="0F172A"/>
          <w:sz w:val="25"/>
        </w:rPr>
        <w:t>5. Required Minimum Distributions (RMDs)</w:t>
      </w:r>
    </w:p>
    <w:p>
      <w:pPr>
        <w:spacing w:before="40" w:after="80" w:line="276" w:lineRule="auto"/>
      </w:pPr>
      <w:r>
        <w:rPr>
          <w:rFonts w:ascii="Segoe UI" w:hAnsi="Segoe UI"/>
          <w:b w:val="0"/>
          <w:i w:val="0"/>
          <w:color w:val="1F2937"/>
          <w:sz w:val="19"/>
        </w:rPr>
        <w:t>Under the federal SECURE Act 2.0 legislation, the IRS requires you to start withdrawing a minimum percentage from traditional 401(k) and IRA accounts starting at:</w:t>
      </w:r>
    </w:p>
    <w:p>
      <w:pPr>
        <w:pStyle w:val="ListBullet"/>
        <w:spacing w:before="20" w:after="40"/>
      </w:pPr>
      <w:r>
        <w:rPr>
          <w:rFonts w:ascii="Segoe UI" w:hAnsi="Segoe UI"/>
          <w:b/>
          <w:i w:val="0"/>
          <w:color w:val="1F2937"/>
          <w:sz w:val="19"/>
        </w:rPr>
        <w:t>Age 72</w:t>
      </w:r>
      <w:r>
        <w:rPr>
          <w:rFonts w:ascii="Segoe UI" w:hAnsi="Segoe UI"/>
          <w:b w:val="0"/>
          <w:i w:val="0"/>
          <w:color w:val="1F2937"/>
          <w:sz w:val="19"/>
        </w:rPr>
        <w:t xml:space="preserve"> (if born in 1950 or earlier).</w:t>
      </w:r>
    </w:p>
    <w:p>
      <w:pPr>
        <w:pStyle w:val="ListBullet"/>
        <w:spacing w:before="20" w:after="40"/>
      </w:pPr>
      <w:r>
        <w:rPr>
          <w:rFonts w:ascii="Segoe UI" w:hAnsi="Segoe UI"/>
          <w:b/>
          <w:i w:val="0"/>
          <w:color w:val="1F2937"/>
          <w:sz w:val="19"/>
        </w:rPr>
        <w:t>Age 73</w:t>
      </w:r>
      <w:r>
        <w:rPr>
          <w:rFonts w:ascii="Segoe UI" w:hAnsi="Segoe UI"/>
          <w:b w:val="0"/>
          <w:i w:val="0"/>
          <w:color w:val="1F2937"/>
          <w:sz w:val="19"/>
        </w:rPr>
        <w:t xml:space="preserve"> (if born between 1951 and 1959).</w:t>
      </w:r>
    </w:p>
    <w:p>
      <w:pPr>
        <w:pStyle w:val="ListBullet"/>
        <w:spacing w:before="20" w:after="40"/>
      </w:pPr>
      <w:r>
        <w:rPr>
          <w:rFonts w:ascii="Segoe UI" w:hAnsi="Segoe UI"/>
          <w:b/>
          <w:i w:val="0"/>
          <w:color w:val="1F2937"/>
          <w:sz w:val="19"/>
        </w:rPr>
        <w:t>Age 75</w:t>
      </w:r>
      <w:r>
        <w:rPr>
          <w:rFonts w:ascii="Segoe UI" w:hAnsi="Segoe UI"/>
          <w:b w:val="0"/>
          <w:i w:val="0"/>
          <w:color w:val="1F2937"/>
          <w:sz w:val="19"/>
        </w:rPr>
        <w:t xml:space="preserve"> (if born in 1960 or later).</w:t>
      </w:r>
    </w:p>
    <w:p>
      <w:pPr>
        <w:spacing w:before="40" w:after="80" w:line="276" w:lineRule="auto"/>
      </w:pPr>
      <w:r>
        <w:rPr>
          <w:rFonts w:ascii="Segoe UI" w:hAnsi="Segoe UI"/>
          <w:b w:val="0"/>
          <w:i w:val="0"/>
          <w:color w:val="1F2937"/>
          <w:sz w:val="19"/>
        </w:rPr>
        <w:t>Financho calculates these mandatory distributions using the official IRS Uniform Lifetime Table.</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17.2 The 50-State + DC Income Tax Engine</w:t>
      </w:r>
    </w:p>
    <w:p>
      <w:pPr>
        <w:spacing w:before="40" w:after="80" w:line="276" w:lineRule="auto"/>
      </w:pPr>
      <w:r>
        <w:rPr>
          <w:rFonts w:ascii="Segoe UI" w:hAnsi="Segoe UI"/>
          <w:b w:val="0"/>
          <w:i w:val="0"/>
          <w:color w:val="1F2937"/>
          <w:sz w:val="19"/>
        </w:rPr>
        <w:t>State income taxes vary dramatically across the country:</w:t>
      </w:r>
    </w:p>
    <w:p>
      <w:pPr>
        <w:pStyle w:val="ListBullet"/>
        <w:spacing w:before="20" w:after="40"/>
      </w:pPr>
      <w:r>
        <w:rPr>
          <w:rFonts w:ascii="Segoe UI" w:hAnsi="Segoe UI"/>
          <w:b/>
          <w:i w:val="0"/>
          <w:color w:val="1F2937"/>
          <w:sz w:val="19"/>
        </w:rPr>
        <w:t>Zero Income Tax States</w:t>
      </w:r>
      <w:r>
        <w:rPr>
          <w:rFonts w:ascii="Segoe UI" w:hAnsi="Segoe UI"/>
          <w:b w:val="0"/>
          <w:i w:val="0"/>
          <w:color w:val="1F2937"/>
          <w:sz w:val="19"/>
        </w:rPr>
        <w:t>: Alaska, Florida, Nevada, New Hampshire, South Dakota, Tennessee, Texas, Washington, and Wyoming levy no state income tax on personal earnings.</w:t>
      </w:r>
    </w:p>
    <w:p>
      <w:pPr>
        <w:pStyle w:val="ListBullet"/>
        <w:spacing w:before="20" w:after="40"/>
      </w:pPr>
      <w:r>
        <w:rPr>
          <w:rFonts w:ascii="Segoe UI" w:hAnsi="Segoe UI"/>
          <w:b/>
          <w:i w:val="0"/>
          <w:color w:val="1F2937"/>
          <w:sz w:val="19"/>
        </w:rPr>
        <w:t>Flat-Rate States</w:t>
      </w:r>
      <w:r>
        <w:rPr>
          <w:rFonts w:ascii="Segoe UI" w:hAnsi="Segoe UI"/>
          <w:b w:val="0"/>
          <w:i w:val="0"/>
          <w:color w:val="1F2937"/>
          <w:sz w:val="19"/>
        </w:rPr>
        <w:t>: States like Arizona, Colorado, Georgia, Illinois, Indiana, Michigan, North Carolina, and Pennsylvania apply a single statutory rate across taxable income.</w:t>
      </w:r>
    </w:p>
    <w:p>
      <w:pPr>
        <w:pStyle w:val="ListBullet"/>
        <w:spacing w:before="20" w:after="40"/>
      </w:pPr>
      <w:r>
        <w:rPr>
          <w:rFonts w:ascii="Segoe UI" w:hAnsi="Segoe UI"/>
          <w:b/>
          <w:i w:val="0"/>
          <w:color w:val="1F2937"/>
          <w:sz w:val="19"/>
        </w:rPr>
        <w:t>Progressive Bracket States</w:t>
      </w:r>
      <w:r>
        <w:rPr>
          <w:rFonts w:ascii="Segoe UI" w:hAnsi="Segoe UI"/>
          <w:b w:val="0"/>
          <w:i w:val="0"/>
          <w:color w:val="1F2937"/>
          <w:sz w:val="19"/>
        </w:rPr>
        <w:t>: States like California, New York, New Jersey, and Hawaii apply graduated brackets.</w:t>
      </w:r>
    </w:p>
    <w:p>
      <w:pPr>
        <w:pStyle w:val="ListBullet"/>
        <w:spacing w:before="20" w:after="40"/>
      </w:pPr>
      <w:r>
        <w:rPr>
          <w:rFonts w:ascii="Segoe UI" w:hAnsi="Segoe UI"/>
          <w:b/>
          <w:i w:val="0"/>
          <w:color w:val="1F2937"/>
          <w:sz w:val="19"/>
        </w:rPr>
        <w:t>State Retirement Income Exemptions</w:t>
      </w:r>
      <w:r>
        <w:rPr>
          <w:rFonts w:ascii="Segoe UI" w:hAnsi="Segoe UI"/>
          <w:b w:val="0"/>
          <w:i w:val="0"/>
          <w:color w:val="1F2937"/>
          <w:sz w:val="19"/>
        </w:rPr>
        <w:t>: Many states provide special tax relief for retirees. Financho automatically tracks:</w:t>
      </w:r>
    </w:p>
    <w:p>
      <w:pPr>
        <w:pStyle w:val="ListBullet"/>
        <w:spacing w:before="20" w:after="40"/>
      </w:pPr>
      <w:r>
        <w:rPr>
          <w:rFonts w:ascii="Segoe UI" w:hAnsi="Segoe UI"/>
          <w:b w:val="0"/>
          <w:i w:val="0"/>
          <w:color w:val="1F2937"/>
          <w:sz w:val="19"/>
        </w:rPr>
        <w:t>States that exempt 100% of Social Security benefits from state tax — this is 44 states plus DC. Only six states still tax Social Security benefits at the state level: Connecticut, Minnesota, Montana, Rhode Island, Utah, and Vermont.</w:t>
      </w:r>
    </w:p>
    <w:p>
      <w:pPr>
        <w:pStyle w:val="ListBullet"/>
        <w:spacing w:before="20" w:after="40"/>
      </w:pPr>
      <w:r>
        <w:rPr>
          <w:rFonts w:ascii="Segoe UI" w:hAnsi="Segoe UI"/>
          <w:b w:val="0"/>
          <w:i w:val="0"/>
          <w:color w:val="1F2937"/>
          <w:sz w:val="19"/>
        </w:rPr>
        <w:t>States that completely exempt traditional pensions and IRA distributions from state taxes (such as Pennsylvania, Illinois, and Iowa).</w:t>
      </w:r>
    </w:p>
    <w:p>
      <w:pPr>
        <w:pStyle w:val="ListBullet"/>
        <w:spacing w:before="20" w:after="40"/>
      </w:pPr>
      <w:r>
        <w:rPr>
          <w:rFonts w:ascii="Segoe UI" w:hAnsi="Segoe UI"/>
          <w:b w:val="0"/>
          <w:i w:val="0"/>
          <w:color w:val="1F2937"/>
          <w:sz w:val="19"/>
        </w:rPr>
        <w:t>Senior tax credits and age deductions (such as Colorado's generous senior retirement exclusion).</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17.3 Tax-Efficient Liquidation Sequencing</w:t>
      </w:r>
    </w:p>
    <w:p>
      <w:pPr>
        <w:spacing w:before="40" w:after="80" w:line="276" w:lineRule="auto"/>
      </w:pPr>
      <w:r>
        <w:rPr>
          <w:rFonts w:ascii="Segoe UI" w:hAnsi="Segoe UI"/>
          <w:b w:val="0"/>
          <w:i w:val="0"/>
          <w:color w:val="1F2937"/>
          <w:sz w:val="19"/>
        </w:rPr>
        <w:t>When you have living expenses in retirement that exceed your guaranteed income, where should the money come from? Financho executes an intelligent, tax-advantaged withdrawal sequence:</w:t>
      </w:r>
    </w:p>
    <w:p>
      <w:pPr>
        <w:pStyle w:val="ListNumber"/>
        <w:spacing w:before="20" w:after="40"/>
      </w:pPr>
      <w:r>
        <w:rPr>
          <w:rFonts w:ascii="Segoe UI" w:hAnsi="Segoe UI"/>
          <w:b/>
          <w:i w:val="0"/>
          <w:color w:val="1F2937"/>
          <w:sz w:val="19"/>
        </w:rPr>
        <w:t>Cash Reserves First</w:t>
      </w:r>
      <w:r>
        <w:rPr>
          <w:rFonts w:ascii="Segoe UI" w:hAnsi="Segoe UI"/>
          <w:b w:val="0"/>
          <w:i w:val="0"/>
          <w:color w:val="1F2937"/>
          <w:sz w:val="19"/>
        </w:rPr>
        <w:t>: 100% tax-free.</w:t>
      </w:r>
    </w:p>
    <w:p>
      <w:pPr>
        <w:pStyle w:val="ListNumber"/>
        <w:spacing w:before="20" w:after="40"/>
      </w:pPr>
      <w:r>
        <w:rPr>
          <w:rFonts w:ascii="Segoe UI" w:hAnsi="Segoe UI"/>
          <w:b/>
          <w:i w:val="0"/>
          <w:color w:val="1F2937"/>
          <w:sz w:val="19"/>
        </w:rPr>
        <w:t>Taxable Investments Second</w:t>
      </w:r>
      <w:r>
        <w:rPr>
          <w:rFonts w:ascii="Segoe UI" w:hAnsi="Segoe UI"/>
          <w:b w:val="0"/>
          <w:i w:val="0"/>
          <w:color w:val="1F2937"/>
          <w:sz w:val="19"/>
        </w:rPr>
        <w:t>: Capital gains are minimized and principal is returned tax-free.</w:t>
      </w:r>
    </w:p>
    <w:p>
      <w:pPr>
        <w:pStyle w:val="ListNumber"/>
        <w:spacing w:before="20" w:after="40"/>
      </w:pPr>
      <w:r>
        <w:rPr>
          <w:rFonts w:ascii="Segoe UI" w:hAnsi="Segoe UI"/>
          <w:b/>
          <w:i w:val="0"/>
          <w:color w:val="1F2937"/>
          <w:sz w:val="19"/>
        </w:rPr>
        <w:t>Pre-Tax Traditional Accounts (401k/IRA) Third</w:t>
      </w:r>
      <w:r>
        <w:rPr>
          <w:rFonts w:ascii="Segoe UI" w:hAnsi="Segoe UI"/>
          <w:b w:val="0"/>
          <w:i w:val="0"/>
          <w:color w:val="1F2937"/>
          <w:sz w:val="19"/>
        </w:rPr>
        <w:t>: To cover remaining deficits, Financho calculates the exact extra amount needed to cover federal and state taxes (grossing up the withdrawal).</w:t>
      </w:r>
    </w:p>
    <w:p>
      <w:pPr>
        <w:pStyle w:val="ListNumber"/>
        <w:spacing w:before="20" w:after="40"/>
      </w:pPr>
      <w:r>
        <w:rPr>
          <w:rFonts w:ascii="Segoe UI" w:hAnsi="Segoe UI"/>
          <w:b/>
          <w:i w:val="0"/>
          <w:color w:val="1F2937"/>
          <w:sz w:val="19"/>
        </w:rPr>
        <w:t>Roth Accounts Fourth</w:t>
      </w:r>
      <w:r>
        <w:rPr>
          <w:rFonts w:ascii="Segoe UI" w:hAnsi="Segoe UI"/>
          <w:b w:val="0"/>
          <w:i w:val="0"/>
          <w:color w:val="1F2937"/>
          <w:sz w:val="19"/>
        </w:rPr>
        <w:t>: Preserved as long as possible to maximize tax-free compounding and pass down tax-free wealth.</w:t>
      </w:r>
    </w:p>
    <w:p>
      <w:r>
        <w:br w:type="page"/>
      </w:r>
    </w:p>
    <w:p>
      <w:pPr>
        <w:keepNext/>
        <w:spacing w:before="440" w:after="160"/>
      </w:pPr>
      <w:r>
        <w:rPr>
          <w:rFonts w:ascii="Segoe UI" w:hAnsi="Segoe UI"/>
          <w:b/>
          <w:i w:val="0"/>
          <w:color w:val="1E3A8A"/>
          <w:sz w:val="40"/>
        </w:rPr>
        <w:t>CHAPTER 18: The AI Financial Assistant &amp; Voice Mode</w:t>
      </w:r>
    </w:p>
    <w:p>
      <w:pPr>
        <w:keepNext/>
        <w:spacing w:before="320" w:after="120"/>
      </w:pPr>
      <w:r>
        <w:rPr>
          <w:rFonts w:ascii="Segoe UI" w:hAnsi="Segoe UI"/>
          <w:b/>
          <w:i w:val="0"/>
          <w:color w:val="2563EB"/>
          <w:sz w:val="30"/>
        </w:rPr>
        <w:t>18.1 What is the AI Assistant?</w:t>
      </w:r>
    </w:p>
    <w:p>
      <w:pPr>
        <w:spacing w:before="40" w:after="80" w:line="276" w:lineRule="auto"/>
      </w:pPr>
      <w:r>
        <w:rPr>
          <w:rFonts w:ascii="Segoe UI" w:hAnsi="Segoe UI"/>
          <w:b w:val="0"/>
          <w:i w:val="0"/>
          <w:color w:val="1F2937"/>
          <w:sz w:val="19"/>
        </w:rPr>
        <w:t xml:space="preserve">The </w:t>
      </w:r>
      <w:r>
        <w:rPr>
          <w:rFonts w:ascii="Segoe UI" w:hAnsi="Segoe UI"/>
          <w:b/>
          <w:i w:val="0"/>
          <w:color w:val="1F2937"/>
          <w:sz w:val="19"/>
        </w:rPr>
        <w:t>Financho AI Assistant</w:t>
      </w:r>
      <w:r>
        <w:rPr>
          <w:rFonts w:ascii="Segoe UI" w:hAnsi="Segoe UI"/>
          <w:b w:val="0"/>
          <w:i w:val="0"/>
          <w:color w:val="1F2937"/>
          <w:sz w:val="19"/>
        </w:rPr>
        <w:t xml:space="preserve"> is an intelligent conversational financial copilot grounded directly in your personal plan.</w:t>
      </w:r>
    </w:p>
    <w:p>
      <w:pPr>
        <w:spacing w:before="40" w:after="80" w:line="276" w:lineRule="auto"/>
      </w:pPr>
      <w:r>
        <w:rPr>
          <w:rFonts w:ascii="Segoe UI" w:hAnsi="Segoe UI"/>
          <w:b w:val="0"/>
          <w:i w:val="0"/>
          <w:color w:val="1F2937"/>
          <w:sz w:val="19"/>
        </w:rPr>
        <w:t>Unlike generic chatbot tools that give vague or generic financial advice, the Financho AI Assistant has immediate, read-only access to your actual numbers: your accounts, income streams, living expenses, tax bracket, and Monte Carlo probabilities.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18.2 Types of Questions You Can Ask</w:t>
      </w:r>
    </w:p>
    <w:p>
      <w:pPr>
        <w:spacing w:before="40" w:after="80" w:line="276" w:lineRule="auto"/>
      </w:pPr>
      <w:r>
        <w:rPr>
          <w:rFonts w:ascii="Segoe UI" w:hAnsi="Segoe UI"/>
          <w:b w:val="0"/>
          <w:i w:val="0"/>
          <w:color w:val="1F2937"/>
          <w:sz w:val="19"/>
        </w:rPr>
        <w:t>You can chat with the Assistant in plain English just like speaking with a financial planner:</w:t>
      </w:r>
    </w:p>
    <w:p>
      <w:pPr>
        <w:pStyle w:val="ListBullet"/>
        <w:spacing w:before="20" w:after="40"/>
      </w:pPr>
      <w:r>
        <w:rPr>
          <w:rFonts w:ascii="Segoe UI" w:hAnsi="Segoe UI"/>
          <w:b w:val="0"/>
          <w:i/>
          <w:color w:val="1F2937"/>
          <w:sz w:val="19"/>
        </w:rPr>
        <w:t>"What is my current net worth and when do my liquid assets run out?"</w:t>
      </w:r>
    </w:p>
    <w:p>
      <w:pPr>
        <w:pStyle w:val="ListBullet"/>
        <w:spacing w:before="20" w:after="40"/>
      </w:pPr>
      <w:r>
        <w:rPr>
          <w:rFonts w:ascii="Segoe UI" w:hAnsi="Segoe UI"/>
          <w:b w:val="0"/>
          <w:i/>
          <w:color w:val="1F2937"/>
          <w:sz w:val="19"/>
        </w:rPr>
        <w:t>"Can I afford to retire at age 62 instead of 65?"</w:t>
      </w:r>
    </w:p>
    <w:p>
      <w:pPr>
        <w:pStyle w:val="ListBullet"/>
        <w:spacing w:before="20" w:after="40"/>
      </w:pPr>
      <w:r>
        <w:rPr>
          <w:rFonts w:ascii="Segoe UI" w:hAnsi="Segoe UI"/>
          <w:b w:val="0"/>
          <w:i/>
          <w:color w:val="1F2937"/>
          <w:sz w:val="19"/>
        </w:rPr>
        <w:t>"How much will I pay in federal and state taxes at age 70?"</w:t>
      </w:r>
    </w:p>
    <w:p>
      <w:pPr>
        <w:pStyle w:val="ListBullet"/>
        <w:spacing w:before="20" w:after="40"/>
      </w:pPr>
      <w:r>
        <w:rPr>
          <w:rFonts w:ascii="Segoe UI" w:hAnsi="Segoe UI"/>
          <w:b w:val="0"/>
          <w:i/>
          <w:color w:val="1F2937"/>
          <w:sz w:val="19"/>
        </w:rPr>
        <w:t>"What is my Financial Wellness Score, and what is the single biggest thing I can do to improve it?"</w:t>
      </w:r>
    </w:p>
    <w:p>
      <w:pPr>
        <w:pStyle w:val="ListBullet"/>
        <w:spacing w:before="20" w:after="40"/>
      </w:pPr>
      <w:r>
        <w:rPr>
          <w:rFonts w:ascii="Segoe UI" w:hAnsi="Segoe UI"/>
          <w:b w:val="0"/>
          <w:i/>
          <w:color w:val="1F2937"/>
          <w:sz w:val="19"/>
        </w:rPr>
        <w:t>"If inflation jumps to 4%, does my plan still survive?"</w:t>
      </w:r>
    </w:p>
    <w:p>
      <w:pPr>
        <w:pStyle w:val="ListBullet"/>
        <w:spacing w:before="20" w:after="40"/>
      </w:pPr>
      <w:r>
        <w:rPr>
          <w:rFonts w:ascii="Segoe UI" w:hAnsi="Segoe UI"/>
          <w:b w:val="0"/>
          <w:i/>
          <w:color w:val="1F2937"/>
          <w:sz w:val="19"/>
        </w:rPr>
        <w:t>"Would a Roth conversion save me money in the long run?"</w:t>
      </w:r>
    </w:p>
    <w:p>
      <w:pPr>
        <w:pStyle w:val="ListBullet"/>
        <w:spacing w:before="20" w:after="40"/>
      </w:pPr>
      <w:r>
        <w:rPr>
          <w:rFonts w:ascii="Segoe UI" w:hAnsi="Segoe UI"/>
          <w:b w:val="0"/>
          <w:i/>
          <w:color w:val="1F2937"/>
          <w:sz w:val="19"/>
        </w:rPr>
        <w:t>"Compare my Base Plan against my 'Retire at 60' scenario."</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18.3 Interactive Hands-Free Voice Mode</w:t>
      </w:r>
    </w:p>
    <w:p>
      <w:pPr>
        <w:spacing w:before="40" w:after="80" w:line="276" w:lineRule="auto"/>
      </w:pPr>
      <w:r>
        <w:rPr>
          <w:rFonts w:ascii="Segoe UI" w:hAnsi="Segoe UI"/>
          <w:b w:val="0"/>
          <w:i w:val="0"/>
          <w:color w:val="1F2937"/>
          <w:sz w:val="19"/>
        </w:rPr>
        <w:t xml:space="preserve">Financho includes a real-time, interactive </w:t>
      </w:r>
      <w:r>
        <w:rPr>
          <w:rFonts w:ascii="Segoe UI" w:hAnsi="Segoe UI"/>
          <w:b/>
          <w:i w:val="0"/>
          <w:color w:val="1F2937"/>
          <w:sz w:val="19"/>
        </w:rPr>
        <w:t>Voice Assistant</w:t>
      </w:r>
      <w:r>
        <w:rPr>
          <w:rFonts w:ascii="Segoe UI" w:hAnsi="Segoe UI"/>
          <w:b w:val="0"/>
          <w:i w:val="0"/>
          <w:color w:val="1F2937"/>
          <w:sz w:val="19"/>
        </w:rPr>
        <w:t>:</w:t>
      </w:r>
    </w:p>
    <w:p>
      <w:pPr>
        <w:pStyle w:val="ListNumber"/>
        <w:spacing w:before="20" w:after="40"/>
      </w:pPr>
      <w:r>
        <w:rPr>
          <w:rFonts w:ascii="Segoe UI" w:hAnsi="Segoe UI"/>
          <w:b w:val="0"/>
          <w:i w:val="0"/>
          <w:color w:val="1F2937"/>
          <w:sz w:val="19"/>
        </w:rPr>
        <w:t xml:space="preserve">Click the </w:t>
      </w:r>
      <w:r>
        <w:rPr>
          <w:rFonts w:ascii="Segoe UI" w:hAnsi="Segoe UI"/>
          <w:b/>
          <w:i w:val="0"/>
          <w:color w:val="1F2937"/>
          <w:sz w:val="19"/>
        </w:rPr>
        <w:t>Voice Mode</w:t>
      </w:r>
      <w:r>
        <w:rPr>
          <w:rFonts w:ascii="Segoe UI" w:hAnsi="Segoe UI"/>
          <w:b w:val="0"/>
          <w:i w:val="0"/>
          <w:color w:val="1F2937"/>
          <w:sz w:val="19"/>
        </w:rPr>
        <w:t xml:space="preserve"> button on the Assistant screen.</w:t>
      </w:r>
    </w:p>
    <w:p>
      <w:pPr>
        <w:pStyle w:val="ListNumber"/>
        <w:spacing w:before="20" w:after="40"/>
      </w:pPr>
      <w:r>
        <w:rPr>
          <w:rFonts w:ascii="Segoe UI" w:hAnsi="Segoe UI"/>
          <w:b w:val="0"/>
          <w:i w:val="0"/>
          <w:color w:val="1F2937"/>
          <w:sz w:val="19"/>
        </w:rPr>
        <w:t>Allow microphone access when prompted.</w:t>
      </w:r>
    </w:p>
    <w:p>
      <w:pPr>
        <w:pStyle w:val="ListNumber"/>
        <w:spacing w:before="20" w:after="40"/>
      </w:pPr>
      <w:r>
        <w:rPr>
          <w:rFonts w:ascii="Segoe UI" w:hAnsi="Segoe UI"/>
          <w:b w:val="0"/>
          <w:i w:val="0"/>
          <w:color w:val="1F2937"/>
          <w:sz w:val="19"/>
        </w:rPr>
        <w:t>Speak naturally. You can discuss your retirement plans hands-free while reviewing your dashboard or charts.</w:t>
      </w:r>
    </w:p>
    <w:p>
      <w:pPr>
        <w:pStyle w:val="ListNumber"/>
        <w:spacing w:before="20" w:after="40"/>
      </w:pPr>
      <w:r>
        <w:rPr>
          <w:rFonts w:ascii="Segoe UI" w:hAnsi="Segoe UI"/>
          <w:b w:val="0"/>
          <w:i w:val="0"/>
          <w:color w:val="1F2937"/>
          <w:sz w:val="19"/>
        </w:rPr>
        <w:t>The Voice Assistant replies in natural speech and can run simulations or check your numbers mid-conversation.</w:t>
      </w:r>
    </w:p>
    <w:p>
      <w:pPr>
        <w:pStyle w:val="ListNumber"/>
        <w:spacing w:before="20" w:after="40"/>
      </w:pPr>
      <w:r>
        <w:rPr>
          <w:rFonts w:ascii="Segoe UI" w:hAnsi="Segoe UI"/>
          <w:b w:val="0"/>
          <w:i w:val="0"/>
          <w:color w:val="1F2937"/>
          <w:sz w:val="19"/>
        </w:rPr>
        <w:t>When finished, your voice conversation is automatically saved to your chat history.</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18.4 Saving What-If Ideas as Scenarios</w:t>
      </w:r>
    </w:p>
    <w:p>
      <w:pPr>
        <w:spacing w:before="40" w:after="80" w:line="276" w:lineRule="auto"/>
      </w:pPr>
      <w:r>
        <w:rPr>
          <w:rFonts w:ascii="Segoe UI" w:hAnsi="Segoe UI"/>
          <w:b w:val="0"/>
          <w:i w:val="0"/>
          <w:color w:val="1F2937"/>
          <w:sz w:val="19"/>
        </w:rPr>
        <w:t xml:space="preserve">If you ask the Assistant to test a hypothetical scenario (such as </w:t>
      </w:r>
      <w:r>
        <w:rPr>
          <w:rFonts w:ascii="Segoe UI" w:hAnsi="Segoe UI"/>
          <w:b w:val="0"/>
          <w:i/>
          <w:color w:val="1F2937"/>
          <w:sz w:val="19"/>
        </w:rPr>
        <w:t>"What if I buy a $40,000 RV at age 66 and spend $5,000 less on dining out?"</w:t>
      </w:r>
      <w:r>
        <w:rPr>
          <w:rFonts w:ascii="Segoe UI" w:hAnsi="Segoe UI"/>
          <w:b w:val="0"/>
          <w:i w:val="0"/>
          <w:color w:val="1F2937"/>
          <w:sz w:val="19"/>
        </w:rPr>
        <w:t>), you can say:</w:t>
      </w:r>
    </w:p>
    <w:p>
      <w:pPr>
        <w:pStyle w:val="ListBullet"/>
        <w:spacing w:before="20" w:after="40"/>
      </w:pPr>
      <w:r>
        <w:rPr>
          <w:rFonts w:ascii="Segoe UI" w:hAnsi="Segoe UI"/>
          <w:b w:val="0"/>
          <w:i/>
          <w:color w:val="1F2937"/>
          <w:sz w:val="19"/>
        </w:rPr>
        <w:t>"Save this as a new scenario called RV Retirement."</w:t>
      </w:r>
    </w:p>
    <w:p>
      <w:pPr>
        <w:spacing w:before="40" w:after="80" w:line="276" w:lineRule="auto"/>
      </w:pPr>
      <w:r>
        <w:rPr>
          <w:rFonts w:ascii="Segoe UI" w:hAnsi="Segoe UI"/>
          <w:b w:val="0"/>
          <w:i w:val="0"/>
          <w:color w:val="1F2937"/>
          <w:sz w:val="19"/>
        </w:rPr>
        <w:t>The Assistant will create a sandboxed what-if scenario for you on the Scenarios page without modifying your primary numbers.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18.5 Privacy &amp; Resetting Chat</w:t>
      </w:r>
    </w:p>
    <w:p>
      <w:pPr>
        <w:pStyle w:val="ListBullet"/>
        <w:spacing w:before="20" w:after="40"/>
      </w:pPr>
      <w:r>
        <w:rPr>
          <w:rFonts w:ascii="Segoe UI" w:hAnsi="Segoe UI"/>
          <w:b w:val="0"/>
          <w:i w:val="0"/>
          <w:color w:val="1F2937"/>
          <w:sz w:val="19"/>
        </w:rPr>
        <w:t>Your conversation history is private to your household.</w:t>
      </w:r>
    </w:p>
    <w:p>
      <w:pPr>
        <w:pStyle w:val="ListBullet"/>
        <w:spacing w:before="20" w:after="40"/>
      </w:pPr>
      <w:r>
        <w:rPr>
          <w:rFonts w:ascii="Segoe UI" w:hAnsi="Segoe UI"/>
          <w:b w:val="0"/>
          <w:i w:val="0"/>
          <w:color w:val="1F2937"/>
          <w:sz w:val="19"/>
        </w:rPr>
        <w:t xml:space="preserve">You can clear your conversation history at any time by clicking </w:t>
      </w:r>
      <w:r>
        <w:rPr>
          <w:rFonts w:ascii="Segoe UI" w:hAnsi="Segoe UI"/>
          <w:b/>
          <w:i w:val="0"/>
          <w:color w:val="1F2937"/>
          <w:sz w:val="19"/>
        </w:rPr>
        <w:t>Clear History</w:t>
      </w:r>
      <w:r>
        <w:rPr>
          <w:rFonts w:ascii="Segoe UI" w:hAnsi="Segoe UI"/>
          <w:b w:val="0"/>
          <w:i w:val="0"/>
          <w:color w:val="1F2937"/>
          <w:sz w:val="19"/>
        </w:rPr>
        <w:t xml:space="preserve"> at the top of the chat screen.</w:t>
      </w:r>
    </w:p>
    <w:p>
      <w:r>
        <w:br w:type="page"/>
      </w:r>
    </w:p>
    <w:p>
      <w:pPr>
        <w:keepNext/>
        <w:spacing w:before="440" w:after="160"/>
      </w:pPr>
      <w:r>
        <w:rPr>
          <w:rFonts w:ascii="Segoe UI" w:hAnsi="Segoe UI"/>
          <w:b/>
          <w:i w:val="0"/>
          <w:color w:val="1E3A8A"/>
          <w:sz w:val="40"/>
        </w:rPr>
        <w:t>CHAPTER 19: Account Security, Subscriptions &amp; Data Privacy</w:t>
      </w:r>
    </w:p>
    <w:p>
      <w:pPr>
        <w:keepNext/>
        <w:spacing w:before="320" w:after="120"/>
      </w:pPr>
      <w:r>
        <w:rPr>
          <w:rFonts w:ascii="Segoe UI" w:hAnsi="Segoe UI"/>
          <w:b/>
          <w:i w:val="0"/>
          <w:color w:val="2563EB"/>
          <w:sz w:val="30"/>
        </w:rPr>
        <w:t>19.1 Account Security &amp; Password Management</w:t>
      </w:r>
    </w:p>
    <w:p>
      <w:pPr>
        <w:spacing w:before="40" w:after="80" w:line="276" w:lineRule="auto"/>
      </w:pPr>
      <w:r>
        <w:rPr>
          <w:rFonts w:ascii="Segoe UI" w:hAnsi="Segoe UI"/>
          <w:b w:val="0"/>
          <w:i w:val="0"/>
          <w:color w:val="1F2937"/>
          <w:sz w:val="19"/>
        </w:rPr>
        <w:t xml:space="preserve">In </w:t>
      </w:r>
      <w:r>
        <w:rPr>
          <w:rFonts w:ascii="Segoe UI" w:hAnsi="Segoe UI"/>
          <w:b/>
          <w:i w:val="0"/>
          <w:color w:val="1F2937"/>
          <w:sz w:val="19"/>
        </w:rPr>
        <w:t>Settings</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Security</w:t>
      </w:r>
      <w:r>
        <w:rPr>
          <w:rFonts w:ascii="Segoe UI" w:hAnsi="Segoe UI"/>
          <w:b w:val="0"/>
          <w:i w:val="0"/>
          <w:color w:val="1F2937"/>
          <w:sz w:val="19"/>
        </w:rPr>
        <w:t>:</w:t>
      </w:r>
    </w:p>
    <w:p>
      <w:pPr>
        <w:pStyle w:val="ListBullet"/>
        <w:spacing w:before="20" w:after="40"/>
      </w:pPr>
      <w:r>
        <w:rPr>
          <w:rFonts w:ascii="Segoe UI" w:hAnsi="Segoe UI"/>
          <w:b w:val="0"/>
          <w:i w:val="0"/>
          <w:color w:val="1F2937"/>
          <w:sz w:val="19"/>
        </w:rPr>
        <w:t>Update your account password at any time.</w:t>
      </w:r>
    </w:p>
    <w:p>
      <w:pPr>
        <w:pStyle w:val="ListBullet"/>
        <w:spacing w:before="20" w:after="40"/>
      </w:pPr>
      <w:r>
        <w:rPr>
          <w:rFonts w:ascii="Segoe UI" w:hAnsi="Segoe UI"/>
          <w:b w:val="0"/>
          <w:i w:val="0"/>
          <w:color w:val="1F2937"/>
          <w:sz w:val="19"/>
        </w:rPr>
        <w:t>Enter your current password for security verification, then enter a new password (minimum 6 characters).</w:t>
      </w:r>
    </w:p>
    <w:p>
      <w:pPr>
        <w:pStyle w:val="ListBullet"/>
        <w:spacing w:before="20" w:after="40"/>
      </w:pPr>
      <w:r>
        <w:rPr>
          <w:rFonts w:ascii="Segoe UI" w:hAnsi="Segoe UI"/>
          <w:b w:val="0"/>
          <w:i w:val="0"/>
          <w:color w:val="1F2937"/>
          <w:sz w:val="19"/>
        </w:rPr>
        <w:t>Your session is secured with encrypted HTTP-only session tokens to prevent unauthorized access.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19.2 Subscription &amp; Membership Management</w:t>
      </w:r>
    </w:p>
    <w:p>
      <w:pPr>
        <w:spacing w:before="40" w:after="80" w:line="276" w:lineRule="auto"/>
      </w:pPr>
      <w:r>
        <w:rPr>
          <w:rFonts w:ascii="Segoe UI" w:hAnsi="Segoe UI"/>
          <w:b w:val="0"/>
          <w:i w:val="0"/>
          <w:color w:val="1F2937"/>
          <w:sz w:val="19"/>
        </w:rPr>
        <w:t xml:space="preserve">In </w:t>
      </w:r>
      <w:r>
        <w:rPr>
          <w:rFonts w:ascii="Segoe UI" w:hAnsi="Segoe UI"/>
          <w:b/>
          <w:i w:val="0"/>
          <w:color w:val="1F2937"/>
          <w:sz w:val="19"/>
        </w:rPr>
        <w:t>Settings</w:t>
      </w:r>
      <w:r>
        <w:rPr>
          <w:rFonts w:ascii="Segoe UI" w:hAnsi="Segoe UI"/>
          <w:b w:val="0"/>
          <w:i w:val="0"/>
          <w:color w:val="1F2937"/>
          <w:sz w:val="19"/>
        </w:rPr>
        <w:t xml:space="preserve"> </w:t>
      </w:r>
      <w:r>
        <w:rPr>
          <w:rFonts w:ascii="Segoe UI" w:hAnsi="Segoe UI"/>
          <w:b w:val="0"/>
          <w:i w:val="0"/>
          <w:color w:val="1F2937"/>
          <w:sz w:val="19"/>
        </w:rPr>
        <w:t xml:space="preserve"> → </w:t>
      </w:r>
      <w:r>
        <w:rPr>
          <w:rFonts w:ascii="Segoe UI" w:hAnsi="Segoe UI"/>
          <w:b w:val="0"/>
          <w:i w:val="0"/>
          <w:color w:val="1F2937"/>
          <w:sz w:val="19"/>
        </w:rPr>
        <w:t xml:space="preserve"> </w:t>
      </w:r>
      <w:r>
        <w:rPr>
          <w:rFonts w:ascii="Segoe UI" w:hAnsi="Segoe UI"/>
          <w:b/>
          <w:i w:val="0"/>
          <w:color w:val="1F2937"/>
          <w:sz w:val="19"/>
        </w:rPr>
        <w:t>Subscription</w:t>
      </w:r>
      <w:r>
        <w:rPr>
          <w:rFonts w:ascii="Segoe UI" w:hAnsi="Segoe UI"/>
          <w:b w:val="0"/>
          <w:i w:val="0"/>
          <w:color w:val="1F2937"/>
          <w:sz w:val="19"/>
        </w:rPr>
        <w:t>:</w:t>
      </w:r>
    </w:p>
    <w:p>
      <w:pPr>
        <w:pStyle w:val="ListBullet"/>
        <w:spacing w:before="20" w:after="40"/>
      </w:pPr>
      <w:r>
        <w:rPr>
          <w:rFonts w:ascii="Segoe UI" w:hAnsi="Segoe UI"/>
          <w:b w:val="0"/>
          <w:i w:val="0"/>
          <w:color w:val="1F2937"/>
          <w:sz w:val="19"/>
        </w:rPr>
        <w:t>View your active membership status, trial period, and upcoming renewal dates.</w:t>
      </w:r>
    </w:p>
    <w:p>
      <w:pPr>
        <w:pStyle w:val="ListBullet"/>
        <w:spacing w:before="20" w:after="40"/>
      </w:pPr>
      <w:r>
        <w:rPr>
          <w:rFonts w:ascii="Segoe UI" w:hAnsi="Segoe UI"/>
          <w:b/>
          <w:i w:val="0"/>
          <w:color w:val="1F2937"/>
          <w:sz w:val="19"/>
        </w:rPr>
        <w:t>Free Trial</w:t>
      </w:r>
      <w:r>
        <w:rPr>
          <w:rFonts w:ascii="Segoe UI" w:hAnsi="Segoe UI"/>
          <w:b w:val="0"/>
          <w:i w:val="0"/>
          <w:color w:val="1F2937"/>
          <w:sz w:val="19"/>
        </w:rPr>
        <w:t>: New members get a 30-day free trial before any charge is made.</w:t>
      </w:r>
    </w:p>
    <w:p>
      <w:pPr>
        <w:pStyle w:val="ListBullet"/>
        <w:spacing w:before="20" w:after="40"/>
      </w:pPr>
      <w:r>
        <w:rPr>
          <w:rFonts w:ascii="Segoe UI" w:hAnsi="Segoe UI"/>
          <w:b/>
          <w:i w:val="0"/>
          <w:color w:val="1F2937"/>
          <w:sz w:val="19"/>
        </w:rPr>
        <w:t>Financho Annual Membership</w:t>
      </w:r>
      <w:r>
        <w:rPr>
          <w:rFonts w:ascii="Segoe UI" w:hAnsi="Segoe UI"/>
          <w:b w:val="0"/>
          <w:i w:val="0"/>
          <w:color w:val="1F2937"/>
          <w:sz w:val="19"/>
        </w:rPr>
        <w:t>: $99.99 per year after the trial ends, granting full unlimited access to all 9 Explorers, live market portfolio tracking, 10,000-trial Monte Carlo simulations, AI Assistant, and voice sessions.</w:t>
      </w:r>
    </w:p>
    <w:p>
      <w:pPr>
        <w:pStyle w:val="ListBullet"/>
        <w:spacing w:before="20" w:after="40"/>
      </w:pPr>
      <w:r>
        <w:rPr>
          <w:rFonts w:ascii="Segoe UI" w:hAnsi="Segoe UI"/>
          <w:b/>
          <w:i w:val="0"/>
          <w:color w:val="1F2937"/>
          <w:sz w:val="19"/>
        </w:rPr>
        <w:t>Cancel at Period End</w:t>
      </w:r>
      <w:r>
        <w:rPr>
          <w:rFonts w:ascii="Segoe UI" w:hAnsi="Segoe UI"/>
          <w:b w:val="0"/>
          <w:i w:val="0"/>
          <w:color w:val="1F2937"/>
          <w:sz w:val="19"/>
        </w:rPr>
        <w:t>: You can cancel your subscription at any time with a single click. When cancelled, you retain full access to all features until your current annual billing period concludes.</w:t>
      </w:r>
    </w:p>
    <w:p>
      <w:pPr>
        <w:pStyle w:val="ListBullet"/>
        <w:spacing w:before="20" w:after="40"/>
      </w:pPr>
      <w:r>
        <w:rPr>
          <w:rFonts w:ascii="Segoe UI" w:hAnsi="Segoe UI"/>
          <w:b/>
          <w:i w:val="0"/>
          <w:color w:val="1F2937"/>
          <w:sz w:val="19"/>
        </w:rPr>
        <w:t>Resume Subscription</w:t>
      </w:r>
      <w:r>
        <w:rPr>
          <w:rFonts w:ascii="Segoe UI" w:hAnsi="Segoe UI"/>
          <w:b w:val="0"/>
          <w:i w:val="0"/>
          <w:color w:val="1F2937"/>
          <w:sz w:val="19"/>
        </w:rPr>
        <w:t xml:space="preserve">: If you change your mind before your period ends, click </w:t>
      </w:r>
      <w:r>
        <w:rPr>
          <w:rFonts w:ascii="Segoe UI" w:hAnsi="Segoe UI"/>
          <w:b/>
          <w:i w:val="0"/>
          <w:color w:val="1F2937"/>
          <w:sz w:val="19"/>
        </w:rPr>
        <w:t>Resume Membership</w:t>
      </w:r>
      <w:r>
        <w:rPr>
          <w:rFonts w:ascii="Segoe UI" w:hAnsi="Segoe UI"/>
          <w:b w:val="0"/>
          <w:i w:val="0"/>
          <w:color w:val="1F2937"/>
          <w:sz w:val="19"/>
        </w:rPr>
        <w:t xml:space="preserve"> to maintain uninterrupted access.</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19.3 Data Privacy &amp; Exporting</w:t>
      </w:r>
    </w:p>
    <w:p>
      <w:pPr>
        <w:pStyle w:val="ListBullet"/>
        <w:spacing w:before="20" w:after="40"/>
      </w:pPr>
      <w:r>
        <w:rPr>
          <w:rFonts w:ascii="Segoe UI" w:hAnsi="Segoe UI"/>
          <w:b w:val="0"/>
          <w:i w:val="0"/>
          <w:color w:val="1F2937"/>
          <w:sz w:val="19"/>
        </w:rPr>
        <w:t>Your financial data is private and encrypted. Financho does not sell your personal financial information to third-party advertisers or brokers.</w:t>
      </w:r>
    </w:p>
    <w:p>
      <w:pPr>
        <w:pStyle w:val="ListBullet"/>
        <w:spacing w:before="20" w:after="40"/>
      </w:pPr>
      <w:r>
        <w:rPr>
          <w:rFonts w:ascii="Segoe UI" w:hAnsi="Segoe UI"/>
          <w:b w:val="0"/>
          <w:i w:val="0"/>
          <w:color w:val="1F2937"/>
          <w:sz w:val="19"/>
        </w:rPr>
        <w:t xml:space="preserve">You have complete data portability: download your full account spreadsheet via </w:t>
      </w:r>
      <w:r>
        <w:rPr>
          <w:rFonts w:ascii="Segoe UI" w:hAnsi="Segoe UI"/>
          <w:b/>
          <w:i w:val="0"/>
          <w:color w:val="1F2937"/>
          <w:sz w:val="19"/>
        </w:rPr>
        <w:t>Download CSV</w:t>
      </w:r>
      <w:r>
        <w:rPr>
          <w:rFonts w:ascii="Segoe UI" w:hAnsi="Segoe UI"/>
          <w:b w:val="0"/>
          <w:i w:val="0"/>
          <w:color w:val="1F2937"/>
          <w:sz w:val="19"/>
        </w:rPr>
        <w:t xml:space="preserve"> or export an executive PDF summary at any time.</w:t>
      </w:r>
    </w:p>
    <w:p>
      <w:pPr>
        <w:pStyle w:val="ListBullet"/>
        <w:spacing w:before="20" w:after="40"/>
      </w:pPr>
      <w:r>
        <w:rPr>
          <w:rFonts w:ascii="Segoe UI" w:hAnsi="Segoe UI"/>
          <w:b w:val="0"/>
          <w:i w:val="0"/>
          <w:color w:val="1F2937"/>
          <w:sz w:val="19"/>
        </w:rPr>
        <w:t xml:space="preserve">If you ever wish to reset your numbers to a fresh baseline, click </w:t>
      </w:r>
      <w:r>
        <w:rPr>
          <w:rFonts w:ascii="Segoe UI" w:hAnsi="Segoe UI"/>
          <w:b/>
          <w:i w:val="0"/>
          <w:color w:val="1F2937"/>
          <w:sz w:val="19"/>
        </w:rPr>
        <w:t>Reset Plan to Defaults</w:t>
      </w:r>
      <w:r>
        <w:rPr>
          <w:rFonts w:ascii="Segoe UI" w:hAnsi="Segoe UI"/>
          <w:b w:val="0"/>
          <w:i w:val="0"/>
          <w:color w:val="1F2937"/>
          <w:sz w:val="19"/>
        </w:rPr>
        <w:t xml:space="preserve"> in Settings.</w:t>
      </w:r>
    </w:p>
    <w:p>
      <w:r>
        <w:br w:type="page"/>
      </w:r>
    </w:p>
    <w:p>
      <w:pPr>
        <w:keepNext/>
        <w:spacing w:before="440" w:after="160"/>
      </w:pPr>
      <w:r>
        <w:rPr>
          <w:rFonts w:ascii="Segoe UI" w:hAnsi="Segoe UI"/>
          <w:b/>
          <w:i w:val="0"/>
          <w:color w:val="1E3A8A"/>
          <w:sz w:val="40"/>
        </w:rPr>
        <w:t>CHAPTER 20: Frequently Asked Questions &amp; Disclaimers</w:t>
      </w:r>
    </w:p>
    <w:p>
      <w:pPr>
        <w:keepNext/>
        <w:spacing w:before="320" w:after="120"/>
      </w:pPr>
      <w:r>
        <w:rPr>
          <w:rFonts w:ascii="Segoe UI" w:hAnsi="Segoe UI"/>
          <w:b/>
          <w:i w:val="0"/>
          <w:color w:val="2563EB"/>
          <w:sz w:val="30"/>
        </w:rPr>
        <w:t>20.1 Frequently Asked Questions</w:t>
      </w:r>
    </w:p>
    <w:p>
      <w:pPr>
        <w:keepNext/>
        <w:spacing w:before="240" w:after="80"/>
      </w:pPr>
      <w:r>
        <w:rPr>
          <w:rFonts w:ascii="Segoe UI" w:hAnsi="Segoe UI"/>
          <w:b/>
          <w:i w:val="0"/>
          <w:color w:val="0F172A"/>
          <w:sz w:val="25"/>
        </w:rPr>
        <w:t>Why does my net worth stay positive even after the app says my assets depleted?</w:t>
      </w:r>
    </w:p>
    <w:p>
      <w:pPr>
        <w:spacing w:before="40" w:after="80" w:line="276" w:lineRule="auto"/>
      </w:pPr>
      <w:r>
        <w:rPr>
          <w:rFonts w:ascii="Segoe UI" w:hAnsi="Segoe UI"/>
          <w:b w:val="0"/>
          <w:i w:val="0"/>
          <w:color w:val="1F2937"/>
          <w:sz w:val="19"/>
        </w:rPr>
        <w:t xml:space="preserve">Your </w:t>
      </w:r>
      <w:r>
        <w:rPr>
          <w:rFonts w:ascii="Segoe UI" w:hAnsi="Segoe UI"/>
          <w:b/>
          <w:i w:val="0"/>
          <w:color w:val="1F2937"/>
          <w:sz w:val="19"/>
        </w:rPr>
        <w:t>Net Worth</w:t>
      </w:r>
      <w:r>
        <w:rPr>
          <w:rFonts w:ascii="Segoe UI" w:hAnsi="Segoe UI"/>
          <w:b w:val="0"/>
          <w:i w:val="0"/>
          <w:color w:val="1F2937"/>
          <w:sz w:val="19"/>
        </w:rPr>
        <w:t xml:space="preserve"> includes illiquid property equity (such as your family home). However, your </w:t>
      </w:r>
      <w:r>
        <w:rPr>
          <w:rFonts w:ascii="Segoe UI" w:hAnsi="Segoe UI"/>
          <w:b/>
          <w:i w:val="0"/>
          <w:color w:val="1F2937"/>
          <w:sz w:val="19"/>
        </w:rPr>
        <w:t>Liquid Assets</w:t>
      </w:r>
      <w:r>
        <w:rPr>
          <w:rFonts w:ascii="Segoe UI" w:hAnsi="Segoe UI"/>
          <w:b w:val="0"/>
          <w:i w:val="0"/>
          <w:color w:val="1F2937"/>
          <w:sz w:val="19"/>
        </w:rPr>
        <w:t xml:space="preserve"> represent the actual investable money in your checking, brokerage, and retirement accounts. You cannot easily pay a grocery bill with a brick from your chimney! If liquid assets reach zero, you face a cash-flow shortfall unless you downsize or access home equity.</w:t>
      </w:r>
    </w:p>
    <w:p>
      <w:pPr>
        <w:keepNext/>
        <w:spacing w:before="240" w:after="80"/>
      </w:pPr>
      <w:r>
        <w:rPr>
          <w:rFonts w:ascii="Segoe UI" w:hAnsi="Segoe UI"/>
          <w:b/>
          <w:i w:val="0"/>
          <w:color w:val="0F172A"/>
          <w:sz w:val="25"/>
        </w:rPr>
        <w:t>Why does Financho suggest Roth conversions when I have to pay taxes upfront?</w:t>
      </w:r>
    </w:p>
    <w:p>
      <w:pPr>
        <w:spacing w:before="40" w:after="80" w:line="276" w:lineRule="auto"/>
      </w:pPr>
      <w:r>
        <w:rPr>
          <w:rFonts w:ascii="Segoe UI" w:hAnsi="Segoe UI"/>
          <w:b w:val="0"/>
          <w:i w:val="0"/>
          <w:color w:val="1F2937"/>
          <w:sz w:val="19"/>
        </w:rPr>
        <w:t>Roth conversions require paying taxes today. However, if you are currently in a lower tax bracket (such as early retirement before Social Security begins), paying 10% or 12% today can prevent massive Required Minimum Distributions in your 70s that would otherwise be taxed at 22%, 24%, or higher, while also triggering Medicare surcharges.</w:t>
      </w:r>
    </w:p>
    <w:p>
      <w:pPr>
        <w:keepNext/>
        <w:spacing w:before="240" w:after="80"/>
      </w:pPr>
      <w:r>
        <w:rPr>
          <w:rFonts w:ascii="Segoe UI" w:hAnsi="Segoe UI"/>
          <w:b/>
          <w:i w:val="0"/>
          <w:color w:val="0F172A"/>
          <w:sz w:val="25"/>
        </w:rPr>
        <w:t>How often should I update my plan?</w:t>
      </w:r>
    </w:p>
    <w:p>
      <w:pPr>
        <w:spacing w:before="40" w:after="80" w:line="276" w:lineRule="auto"/>
      </w:pPr>
      <w:r>
        <w:rPr>
          <w:rFonts w:ascii="Segoe UI" w:hAnsi="Segoe UI"/>
          <w:b w:val="0"/>
          <w:i w:val="0"/>
          <w:color w:val="1F2937"/>
          <w:sz w:val="19"/>
        </w:rPr>
        <w:t>We recommend reviewing your plan:</w:t>
      </w:r>
    </w:p>
    <w:p>
      <w:pPr>
        <w:pStyle w:val="ListNumber"/>
        <w:spacing w:before="20" w:after="40"/>
      </w:pPr>
      <w:r>
        <w:rPr>
          <w:rFonts w:ascii="Segoe UI" w:hAnsi="Segoe UI"/>
          <w:b/>
          <w:i w:val="0"/>
          <w:color w:val="1F2937"/>
          <w:sz w:val="19"/>
        </w:rPr>
        <w:t>Once a year</w:t>
      </w:r>
      <w:r>
        <w:rPr>
          <w:rFonts w:ascii="Segoe UI" w:hAnsi="Segoe UI"/>
          <w:b w:val="0"/>
          <w:i w:val="0"/>
          <w:color w:val="1F2937"/>
          <w:sz w:val="19"/>
        </w:rPr>
        <w:t xml:space="preserve"> (for an annual financial checkup).</w:t>
      </w:r>
    </w:p>
    <w:p>
      <w:pPr>
        <w:pStyle w:val="ListNumber"/>
        <w:spacing w:before="20" w:after="40"/>
      </w:pPr>
      <w:r>
        <w:rPr>
          <w:rFonts w:ascii="Segoe UI" w:hAnsi="Segoe UI"/>
          <w:b w:val="0"/>
          <w:i w:val="0"/>
          <w:color w:val="1F2937"/>
          <w:sz w:val="19"/>
        </w:rPr>
        <w:t xml:space="preserve">Whenever a </w:t>
      </w:r>
      <w:r>
        <w:rPr>
          <w:rFonts w:ascii="Segoe UI" w:hAnsi="Segoe UI"/>
          <w:b/>
          <w:i w:val="0"/>
          <w:color w:val="1F2937"/>
          <w:sz w:val="19"/>
        </w:rPr>
        <w:t>major life event</w:t>
      </w:r>
      <w:r>
        <w:rPr>
          <w:rFonts w:ascii="Segoe UI" w:hAnsi="Segoe UI"/>
          <w:b w:val="0"/>
          <w:i w:val="0"/>
          <w:color w:val="1F2937"/>
          <w:sz w:val="19"/>
        </w:rPr>
        <w:t xml:space="preserve"> occurs (such as a career change, marriage, home purchase, inheritance, or new child/grandchild).</w:t>
      </w:r>
    </w:p>
    <w:p>
      <w:pPr>
        <w:pStyle w:val="ListNumber"/>
        <w:spacing w:before="20" w:after="40"/>
      </w:pPr>
      <w:r>
        <w:rPr>
          <w:rFonts w:ascii="Segoe UI" w:hAnsi="Segoe UI"/>
          <w:b w:val="0"/>
          <w:i w:val="0"/>
          <w:color w:val="1F2937"/>
          <w:sz w:val="19"/>
        </w:rPr>
        <w:t xml:space="preserve">Following </w:t>
      </w:r>
      <w:r>
        <w:rPr>
          <w:rFonts w:ascii="Segoe UI" w:hAnsi="Segoe UI"/>
          <w:b/>
          <w:i w:val="0"/>
          <w:color w:val="1F2937"/>
          <w:sz w:val="19"/>
        </w:rPr>
        <w:t>significant federal or state tax law revisions</w:t>
      </w:r>
      <w:r>
        <w:rPr>
          <w:rFonts w:ascii="Segoe UI" w:hAnsi="Segoe UI"/>
          <w:b w:val="0"/>
          <w:i w:val="0"/>
          <w:color w:val="1F2937"/>
          <w:sz w:val="19"/>
        </w:rPr>
        <w:t>.</w:t>
      </w:r>
    </w:p>
    <w:p>
      <w:pPr>
        <w:spacing w:before="120" w:after="120"/>
      </w:pPr>
      <w:r>
        <w:rPr>
          <w:rFonts w:ascii="Segoe UI" w:hAnsi="Segoe UI"/>
          <w:b w:val="0"/>
          <w:i w:val="0"/>
          <w:color w:val="D1D5DB"/>
          <w:sz w:val="18"/>
        </w:rPr>
        <w:t>―――――――――――――――――――――――――――――――――――――――――――――</w:t>
      </w:r>
    </w:p>
    <w:p>
      <w:pPr>
        <w:keepNext/>
        <w:spacing w:before="320" w:after="120"/>
      </w:pPr>
      <w:r>
        <w:rPr>
          <w:rFonts w:ascii="Segoe UI" w:hAnsi="Segoe UI"/>
          <w:b/>
          <w:i w:val="0"/>
          <w:color w:val="2563EB"/>
          <w:sz w:val="30"/>
        </w:rPr>
        <w:t>20.2 Educational &amp; Financial Planning Disclaimer</w:t>
      </w:r>
    </w:p>
    <w:tbl>
      <w:tblPr>
        <w:tblW w:type="auto" w:w="0"/>
        <w:jc w:val="center"/>
        <w:tblLook w:firstColumn="1" w:firstRow="1" w:lastColumn="0" w:lastRow="0" w:noHBand="0" w:noVBand="1" w:val="04A0"/>
      </w:tblPr>
      <w:tblGrid>
        <w:gridCol w:w="9360"/>
      </w:tblGrid>
      <w:tr>
        <w:tc>
          <w:tcPr>
            <w:tcW w:type="dxa" w:w="9360"/>
            <w:shd w:fill="FFFBEB"/>
            <w:tcBorders>
              <w:left w:val="single" w:sz="36" w:space="0" w:color="B45309"/>
              <w:top w:val="nil"/>
              <w:bottom w:val="nil"/>
              <w:right w:val="nil"/>
            </w:tcBorders>
            <w:tcMar>
              <w:top w:w="90" w:type="dxa"/>
              <w:bottom w:w="90" w:type="dxa"/>
              <w:left w:w="140" w:type="dxa"/>
              <w:right w:w="120" w:type="dxa"/>
            </w:tcMar>
          </w:tcPr>
          <w:p>
            <w:pPr>
              <w:spacing w:before="40" w:after="40"/>
            </w:pPr>
            <w:r>
              <w:rPr>
                <w:rFonts w:ascii="Segoe UI" w:hAnsi="Segoe UI"/>
                <w:b w:val="0"/>
                <w:i w:val="0"/>
                <w:color w:val="1F2937"/>
                <w:sz w:val="19"/>
              </w:rPr>
              <w:t xml:space="preserve">[!IMPORTANT] </w:t>
            </w:r>
            <w:r>
              <w:rPr>
                <w:rFonts w:ascii="Segoe UI" w:hAnsi="Segoe UI"/>
                <w:b/>
                <w:i w:val="0"/>
                <w:color w:val="1F2937"/>
                <w:sz w:val="19"/>
              </w:rPr>
              <w:t>EDUCATIONAL &amp; INFORMATIONAL PURPOSES ONLY</w:t>
            </w:r>
            <w:r>
              <w:rPr>
                <w:rFonts w:ascii="Segoe UI" w:hAnsi="Segoe UI"/>
                <w:b w:val="0"/>
                <w:i w:val="0"/>
                <w:color w:val="1F2937"/>
                <w:sz w:val="19"/>
              </w:rPr>
              <w:t>: Financho is a financial decision-support and educational planning platform. All calculations, projections, Monte Carlo simulations, wellness scores, Digital Coach alerts, and AI Assistant recommendations are provided for educational and analytical purposes only.  Financho is not a registered investment advisor, certified public accountant, or licensed estate planning attorney. Nothing in this software should be construed as formal investment, tax, or legal advice.  Financial decisions should not be based solely on automated projections. Always consult with a qualified Certified Financial Planner (CFP®), Certified Public Accountant (CPA), or legal professional before executing large-scale portfolio liquidations, early Social Security claims, debt payoffs, or irrevocable tax transactions.</w:t>
            </w:r>
          </w:p>
        </w:tc>
      </w:tr>
    </w:tbl>
    <w:p>
      <w:pPr>
        <w:spacing w:before="0" w:after="80"/>
      </w:pPr>
    </w:p>
    <w:p>
      <w:r>
        <w:br w:type="page"/>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Segoe UI" w:hAnsi="Segoe UI"/>
        <w:color w:val="9CA3AF"/>
        <w:sz w:val="17"/>
      </w:rPr>
      <w:t>Financho Educational &amp; Analytical Planning Engine — Confidential &amp; Proprietary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egoe UI" w:hAnsi="Segoe UI"/>
        <w:color w:val="9CA3AF"/>
        <w:sz w:val="17"/>
      </w:rPr>
      <w:t>Financho Comprehensive User Manual | Version 2026.1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